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9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56"/>
      </w:tblGrid>
      <w:tr w:rsidR="006F7EDE" w:rsidRPr="001E3132">
        <w:tc>
          <w:tcPr>
            <w:tcW w:w="10456" w:type="dxa"/>
            <w:tcBorders>
              <w:bottom w:val="single" w:sz="18" w:space="0" w:color="auto"/>
            </w:tcBorders>
            <w:shd w:val="clear" w:color="auto" w:fill="FFFFFF"/>
          </w:tcPr>
          <w:p w:rsidR="006F7EDE" w:rsidRDefault="001F58A5" w:rsidP="005405AE">
            <w:pPr>
              <w:spacing w:before="120"/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501A40">
              <w:rPr>
                <w:noProof/>
                <w:lang w:eastAsia="en-AU"/>
              </w:rPr>
              <w:drawing>
                <wp:inline distT="0" distB="0" distL="0" distR="0">
                  <wp:extent cx="1509395" cy="198120"/>
                  <wp:effectExtent l="19050" t="0" r="0" b="0"/>
                  <wp:docPr id="18" name="Picture 18" descr="http://info.wh.org.au/library/scripts/objectifyMedia.aspx?file=images/444/49.jpg&amp;siteID=2&amp;str_title=wh_mast_H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nfo.wh.org.au/library/scripts/objectifyMedia.aspx?file=images/444/49.jpg&amp;siteID=2&amp;str_title=wh_mast_H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EDE" w:rsidRDefault="006E6707" w:rsidP="00406B36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32"/>
              </w:rPr>
              <w:t>Orthogeriatrics</w:t>
            </w:r>
            <w:proofErr w:type="spellEnd"/>
            <w:r>
              <w:rPr>
                <w:rFonts w:ascii="Arial" w:hAnsi="Arial" w:cs="Arial"/>
                <w:b/>
                <w:sz w:val="28"/>
                <w:szCs w:val="32"/>
              </w:rPr>
              <w:t xml:space="preserve"> Service</w:t>
            </w:r>
            <w:r w:rsidR="006F7EDE" w:rsidRPr="0096109C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6760AC">
              <w:rPr>
                <w:rFonts w:ascii="Arial" w:hAnsi="Arial" w:cs="Arial"/>
                <w:b/>
                <w:sz w:val="28"/>
                <w:szCs w:val="32"/>
              </w:rPr>
              <w:t>DVT Prophylaxis</w:t>
            </w:r>
            <w:r w:rsidR="001169DE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E52B8A">
              <w:rPr>
                <w:rFonts w:ascii="Arial" w:hAnsi="Arial" w:cs="Arial"/>
                <w:b/>
                <w:sz w:val="28"/>
                <w:szCs w:val="32"/>
              </w:rPr>
              <w:t>Quick Reference S</w:t>
            </w:r>
            <w:r w:rsidR="00AD486D">
              <w:rPr>
                <w:rFonts w:ascii="Arial" w:hAnsi="Arial" w:cs="Arial"/>
                <w:b/>
                <w:sz w:val="28"/>
                <w:szCs w:val="32"/>
              </w:rPr>
              <w:t>heet</w:t>
            </w:r>
          </w:p>
          <w:p w:rsidR="00406B36" w:rsidRDefault="00406B36" w:rsidP="00406B36">
            <w:pPr>
              <w:jc w:val="center"/>
              <w:rPr>
                <w:rFonts w:ascii="Arial" w:hAnsi="Arial" w:cs="Arial"/>
                <w:sz w:val="18"/>
              </w:rPr>
            </w:pPr>
            <w:r w:rsidRPr="001169DE">
              <w:rPr>
                <w:rFonts w:ascii="Arial" w:hAnsi="Arial" w:cs="Arial"/>
                <w:sz w:val="18"/>
              </w:rPr>
              <w:t>(adapted fr</w:t>
            </w:r>
            <w:r w:rsidR="00BB040A">
              <w:rPr>
                <w:rFonts w:ascii="Arial" w:hAnsi="Arial" w:cs="Arial"/>
                <w:sz w:val="18"/>
              </w:rPr>
              <w:t xml:space="preserve">om Western Health Guidelines </w:t>
            </w:r>
            <w:r w:rsidR="006760AC">
              <w:rPr>
                <w:rFonts w:ascii="Arial" w:hAnsi="Arial" w:cs="Arial"/>
                <w:sz w:val="18"/>
              </w:rPr>
              <w:t>–</w:t>
            </w:r>
            <w:r w:rsidRPr="001169DE">
              <w:rPr>
                <w:rFonts w:ascii="Arial" w:hAnsi="Arial" w:cs="Arial"/>
                <w:sz w:val="18"/>
              </w:rPr>
              <w:t xml:space="preserve"> </w:t>
            </w:r>
            <w:r w:rsidR="006760AC">
              <w:rPr>
                <w:rFonts w:ascii="Arial" w:hAnsi="Arial" w:cs="Arial"/>
                <w:sz w:val="18"/>
              </w:rPr>
              <w:t xml:space="preserve">Adult Venous Thromboembolism Prevention </w:t>
            </w:r>
          </w:p>
          <w:p w:rsidR="006F7EDE" w:rsidRPr="006F7EDE" w:rsidRDefault="00406B36" w:rsidP="006F7ED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sz w:val="18"/>
              </w:rPr>
              <w:t xml:space="preserve"> -s</w:t>
            </w:r>
            <w:r w:rsidRPr="00DB68A2">
              <w:rPr>
                <w:rFonts w:ascii="Arial" w:hAnsi="Arial" w:cs="Arial"/>
                <w:sz w:val="18"/>
              </w:rPr>
              <w:t>ee complete Guidelines on intranet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:rsidR="00953C99" w:rsidRPr="00953C99" w:rsidRDefault="00953C99">
      <w:pPr>
        <w:rPr>
          <w:sz w:val="10"/>
        </w:rPr>
      </w:pPr>
    </w:p>
    <w:tbl>
      <w:tblPr>
        <w:tblpPr w:leftFromText="180" w:rightFromText="180" w:vertAnchor="text" w:horzAnchor="margin" w:tblpX="216" w:tblpY="9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71"/>
      </w:tblGrid>
      <w:tr w:rsidR="006F7EDE" w:rsidRPr="001E3132" w:rsidTr="00C54F67">
        <w:trPr>
          <w:trHeight w:val="569"/>
        </w:trPr>
        <w:tc>
          <w:tcPr>
            <w:tcW w:w="1047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B68A2" w:rsidRPr="00406B36" w:rsidRDefault="00B95F32" w:rsidP="00B95F3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Patients with hip fracture are at HIGH risk of venous thromboembolism and require </w:t>
            </w:r>
            <w:r w:rsidRPr="00B95F32">
              <w:rPr>
                <w:rFonts w:ascii="Arial" w:hAnsi="Arial" w:cs="Arial"/>
                <w:b/>
                <w:sz w:val="18"/>
                <w:szCs w:val="22"/>
                <w:u w:val="single"/>
              </w:rPr>
              <w:t>extended-duration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VTE prophylaxis</w:t>
            </w:r>
            <w:r w:rsidRPr="001E313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5F32" w:rsidRPr="001E3132" w:rsidTr="001F58A5">
        <w:trPr>
          <w:trHeight w:val="326"/>
        </w:trPr>
        <w:tc>
          <w:tcPr>
            <w:tcW w:w="104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95F32" w:rsidRPr="00754D42" w:rsidRDefault="00B95F32" w:rsidP="00174FED">
            <w:pPr>
              <w:pStyle w:val="Footer"/>
              <w:widowControl/>
              <w:numPr>
                <w:ilvl w:val="0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Prophylactic dose </w:t>
            </w:r>
            <w:r w:rsidR="00BB007D">
              <w:rPr>
                <w:rFonts w:ascii="Arial" w:hAnsi="Arial" w:cs="Arial"/>
                <w:sz w:val="18"/>
                <w:szCs w:val="22"/>
              </w:rPr>
              <w:t>enoxaparin</w:t>
            </w:r>
            <w:r>
              <w:rPr>
                <w:rFonts w:ascii="Arial" w:hAnsi="Arial" w:cs="Arial"/>
                <w:sz w:val="18"/>
                <w:szCs w:val="22"/>
              </w:rPr>
              <w:t xml:space="preserve"> should be prescribed for </w:t>
            </w:r>
            <w:r w:rsidRPr="00754D42">
              <w:rPr>
                <w:rFonts w:ascii="Arial" w:hAnsi="Arial" w:cs="Arial"/>
                <w:b/>
                <w:sz w:val="18"/>
                <w:szCs w:val="22"/>
              </w:rPr>
              <w:t>28 days</w:t>
            </w:r>
            <w:r>
              <w:rPr>
                <w:rFonts w:ascii="Arial" w:hAnsi="Arial" w:cs="Arial"/>
                <w:sz w:val="18"/>
                <w:szCs w:val="22"/>
              </w:rPr>
              <w:t xml:space="preserve"> post-op for </w:t>
            </w:r>
            <w:r w:rsidRPr="00754D42">
              <w:rPr>
                <w:rFonts w:ascii="Arial" w:hAnsi="Arial" w:cs="Arial"/>
                <w:sz w:val="18"/>
                <w:szCs w:val="22"/>
                <w:u w:val="single"/>
              </w:rPr>
              <w:t>ALL</w:t>
            </w:r>
            <w:r>
              <w:rPr>
                <w:rFonts w:ascii="Arial" w:hAnsi="Arial" w:cs="Arial"/>
                <w:sz w:val="18"/>
                <w:szCs w:val="22"/>
              </w:rPr>
              <w:t xml:space="preserve"> patients with </w:t>
            </w:r>
            <w:r w:rsidR="00754D42">
              <w:rPr>
                <w:rFonts w:ascii="Arial" w:hAnsi="Arial" w:cs="Arial"/>
                <w:sz w:val="18"/>
                <w:szCs w:val="22"/>
              </w:rPr>
              <w:t>hip fracture except:</w:t>
            </w:r>
          </w:p>
          <w:p w:rsidR="00754D42" w:rsidRPr="00754D42" w:rsidRDefault="00754D42" w:rsidP="00174FED">
            <w:pPr>
              <w:pStyle w:val="Footer"/>
              <w:widowControl/>
              <w:numPr>
                <w:ilvl w:val="1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Patients who have been recommenced on their usual anticoagulation (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eg.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Warfarin for mechanical MVR)</w:t>
            </w:r>
            <w:r w:rsidR="00206194">
              <w:rPr>
                <w:rFonts w:ascii="Arial" w:hAnsi="Arial" w:cs="Arial"/>
                <w:sz w:val="18"/>
                <w:szCs w:val="22"/>
              </w:rPr>
              <w:t>.</w:t>
            </w:r>
          </w:p>
          <w:p w:rsidR="00754D42" w:rsidRPr="00FB2BF5" w:rsidRDefault="00754D42" w:rsidP="00174FED">
            <w:pPr>
              <w:pStyle w:val="Footer"/>
              <w:widowControl/>
              <w:numPr>
                <w:ilvl w:val="1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Patients with a relative contraindication to </w:t>
            </w:r>
            <w:r w:rsidR="00BB007D">
              <w:rPr>
                <w:rFonts w:ascii="Arial" w:hAnsi="Arial" w:cs="Arial"/>
                <w:sz w:val="18"/>
                <w:szCs w:val="22"/>
              </w:rPr>
              <w:t>enoxaparin</w:t>
            </w:r>
            <w:r w:rsidR="00206194" w:rsidRPr="00FB2BF5">
              <w:rPr>
                <w:rFonts w:ascii="Arial" w:hAnsi="Arial" w:cs="Arial"/>
                <w:sz w:val="18"/>
                <w:szCs w:val="18"/>
              </w:rPr>
              <w:t>.</w:t>
            </w:r>
            <w:r w:rsidR="00FB2B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BF5" w:rsidRPr="00FB2BF5">
              <w:rPr>
                <w:rFonts w:ascii="Arial" w:hAnsi="Arial" w:cs="Arial"/>
                <w:i/>
                <w:sz w:val="18"/>
                <w:szCs w:val="18"/>
              </w:rPr>
              <w:t xml:space="preserve">– See section </w:t>
            </w:r>
            <w:proofErr w:type="gramStart"/>
            <w:r w:rsidR="00FB2BF5" w:rsidRPr="00FB2BF5">
              <w:rPr>
                <w:rFonts w:ascii="Arial" w:hAnsi="Arial" w:cs="Arial"/>
                <w:i/>
                <w:sz w:val="18"/>
                <w:szCs w:val="18"/>
              </w:rPr>
              <w:t>8.2.3.1  Pharmacological</w:t>
            </w:r>
            <w:proofErr w:type="gramEnd"/>
            <w:r w:rsidR="00FB2BF5" w:rsidRPr="00FB2BF5">
              <w:rPr>
                <w:rFonts w:ascii="Arial" w:hAnsi="Arial" w:cs="Arial"/>
                <w:i/>
                <w:sz w:val="18"/>
                <w:szCs w:val="18"/>
              </w:rPr>
              <w:t xml:space="preserve"> VTE Prophylax</w:t>
            </w:r>
            <w:r w:rsidR="00456551">
              <w:rPr>
                <w:rFonts w:ascii="Arial" w:hAnsi="Arial" w:cs="Arial"/>
                <w:i/>
                <w:sz w:val="18"/>
                <w:szCs w:val="18"/>
              </w:rPr>
              <w:t>is Relative Contraindications from the</w:t>
            </w:r>
            <w:r w:rsidR="00FB2BF5" w:rsidRPr="00FB2BF5">
              <w:rPr>
                <w:rFonts w:ascii="Arial" w:hAnsi="Arial" w:cs="Arial"/>
                <w:i/>
                <w:sz w:val="18"/>
                <w:szCs w:val="18"/>
              </w:rPr>
              <w:t xml:space="preserve"> Adult Venous Thromboembolism Prevention PPG on intranet</w:t>
            </w:r>
          </w:p>
          <w:p w:rsidR="00FB2BF5" w:rsidRPr="00754D42" w:rsidRDefault="00FB2BF5" w:rsidP="00174FED">
            <w:pPr>
              <w:pStyle w:val="Footer"/>
              <w:widowControl/>
              <w:numPr>
                <w:ilvl w:val="1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Unacceptable risk of falls, as determined by treating geriatrician.</w:t>
            </w:r>
          </w:p>
          <w:p w:rsidR="00754D42" w:rsidRPr="00174FED" w:rsidRDefault="00206194" w:rsidP="00174FED">
            <w:pPr>
              <w:pStyle w:val="Footer"/>
              <w:widowControl/>
              <w:numPr>
                <w:ilvl w:val="0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Prophylactic</w:t>
            </w:r>
            <w:r w:rsidR="00BB007D">
              <w:rPr>
                <w:rFonts w:ascii="Arial" w:hAnsi="Arial" w:cs="Arial"/>
                <w:sz w:val="18"/>
                <w:szCs w:val="22"/>
              </w:rPr>
              <w:t xml:space="preserve"> enoxaparin</w:t>
            </w:r>
            <w:r>
              <w:rPr>
                <w:rFonts w:ascii="Arial" w:hAnsi="Arial" w:cs="Arial"/>
                <w:sz w:val="18"/>
                <w:szCs w:val="22"/>
              </w:rPr>
              <w:t xml:space="preserve"> should be</w:t>
            </w:r>
            <w:r w:rsidR="001F58A5">
              <w:rPr>
                <w:rFonts w:ascii="Arial" w:hAnsi="Arial" w:cs="Arial"/>
                <w:sz w:val="18"/>
                <w:szCs w:val="22"/>
              </w:rPr>
              <w:t xml:space="preserve"> charted daily at 2000. On the day of surgery</w:t>
            </w:r>
            <w:r w:rsidR="00BB007D">
              <w:rPr>
                <w:rFonts w:ascii="Arial" w:hAnsi="Arial" w:cs="Arial"/>
                <w:sz w:val="18"/>
                <w:szCs w:val="22"/>
              </w:rPr>
              <w:t xml:space="preserve"> enoxaparin </w:t>
            </w:r>
            <w:r w:rsidR="001F58A5">
              <w:rPr>
                <w:rFonts w:ascii="Arial" w:hAnsi="Arial" w:cs="Arial"/>
                <w:sz w:val="18"/>
                <w:szCs w:val="22"/>
              </w:rPr>
              <w:t xml:space="preserve">should be administered at 2000 or at least </w:t>
            </w:r>
            <w:r>
              <w:rPr>
                <w:rFonts w:ascii="Arial" w:hAnsi="Arial" w:cs="Arial"/>
                <w:sz w:val="18"/>
                <w:szCs w:val="22"/>
              </w:rPr>
              <w:t>6 hours post-operatively, unless advised otherwise by orthopaedic surgeon</w:t>
            </w:r>
            <w:r w:rsidR="00FB2BF5">
              <w:rPr>
                <w:rFonts w:ascii="Arial" w:hAnsi="Arial" w:cs="Arial"/>
                <w:sz w:val="18"/>
                <w:szCs w:val="22"/>
              </w:rPr>
              <w:t xml:space="preserve"> due to concerns about bleeding.</w:t>
            </w:r>
          </w:p>
          <w:p w:rsidR="00C54F67" w:rsidRPr="00C54F67" w:rsidRDefault="00174FED" w:rsidP="00C54F6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If prophylactic </w:t>
            </w:r>
            <w:r w:rsidR="00BB007D">
              <w:rPr>
                <w:rFonts w:ascii="Arial" w:hAnsi="Arial" w:cs="Arial"/>
                <w:sz w:val="18"/>
                <w:szCs w:val="22"/>
              </w:rPr>
              <w:t>enoxaparin</w:t>
            </w:r>
            <w:r w:rsidR="00456551">
              <w:rPr>
                <w:rFonts w:ascii="Arial" w:hAnsi="Arial" w:cs="Arial"/>
                <w:sz w:val="18"/>
                <w:szCs w:val="22"/>
              </w:rPr>
              <w:t xml:space="preserve"> is withheld, the</w:t>
            </w:r>
            <w:r>
              <w:rPr>
                <w:rFonts w:ascii="Arial" w:hAnsi="Arial" w:cs="Arial"/>
                <w:sz w:val="18"/>
                <w:szCs w:val="22"/>
              </w:rPr>
              <w:t xml:space="preserve"> patient must be placed on intermit</w:t>
            </w:r>
            <w:r w:rsidR="00456551">
              <w:rPr>
                <w:rFonts w:ascii="Arial" w:hAnsi="Arial" w:cs="Arial"/>
                <w:sz w:val="18"/>
                <w:szCs w:val="22"/>
              </w:rPr>
              <w:t xml:space="preserve">tent pneumatic calf compressors. Use of </w:t>
            </w:r>
            <w:r>
              <w:rPr>
                <w:rFonts w:ascii="Arial" w:hAnsi="Arial" w:cs="Arial"/>
                <w:sz w:val="18"/>
                <w:szCs w:val="22"/>
              </w:rPr>
              <w:t>TEDS</w:t>
            </w:r>
            <w:r w:rsidR="00456551">
              <w:rPr>
                <w:rFonts w:ascii="Arial" w:hAnsi="Arial" w:cs="Arial"/>
                <w:sz w:val="18"/>
                <w:szCs w:val="22"/>
              </w:rPr>
              <w:t xml:space="preserve"> can be considered, but is often contraindicated in patients with hip fracture due to poor skin integrity</w:t>
            </w:r>
          </w:p>
        </w:tc>
      </w:tr>
      <w:tr w:rsidR="001169DE" w:rsidRPr="001E3132" w:rsidTr="00C54F67">
        <w:trPr>
          <w:trHeight w:val="326"/>
        </w:trPr>
        <w:tc>
          <w:tcPr>
            <w:tcW w:w="10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169DE" w:rsidRPr="00754D42" w:rsidRDefault="00C54F67" w:rsidP="00754D42">
            <w:pPr>
              <w:pStyle w:val="Footer"/>
              <w:widowControl/>
              <w:tabs>
                <w:tab w:val="clear" w:pos="4153"/>
                <w:tab w:val="left" w:pos="720"/>
                <w:tab w:val="center" w:pos="8280"/>
              </w:tabs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DVT prophylaxis chemoprophylaxis options</w:t>
            </w:r>
          </w:p>
        </w:tc>
      </w:tr>
      <w:tr w:rsidR="001169DE" w:rsidRPr="001E3132" w:rsidTr="001F58A5">
        <w:trPr>
          <w:trHeight w:val="326"/>
        </w:trPr>
        <w:tc>
          <w:tcPr>
            <w:tcW w:w="10471" w:type="dxa"/>
            <w:tcBorders>
              <w:top w:val="single" w:sz="12" w:space="0" w:color="auto"/>
              <w:bottom w:val="single" w:sz="12" w:space="0" w:color="auto"/>
            </w:tcBorders>
          </w:tcPr>
          <w:p w:rsidR="00FB2BF5" w:rsidRPr="00BB007D" w:rsidRDefault="00C54F67" w:rsidP="00FB2BF5">
            <w:pPr>
              <w:rPr>
                <w:rFonts w:ascii="Arial" w:hAnsi="Arial" w:cs="Arial"/>
                <w:sz w:val="18"/>
                <w:szCs w:val="18"/>
              </w:rPr>
            </w:pPr>
            <w:r w:rsidRPr="00BB007D">
              <w:rPr>
                <w:rFonts w:ascii="Arial" w:hAnsi="Arial" w:cs="Arial"/>
                <w:sz w:val="18"/>
                <w:szCs w:val="18"/>
              </w:rPr>
              <w:t>Enoxaparin is</w:t>
            </w:r>
            <w:r w:rsidR="00357B70">
              <w:rPr>
                <w:rFonts w:ascii="Arial" w:hAnsi="Arial" w:cs="Arial"/>
                <w:sz w:val="18"/>
                <w:szCs w:val="18"/>
              </w:rPr>
              <w:t xml:space="preserve"> the gold-standard for DVT prophylaxis, however in cases where enoxaparin is not tolerated,</w:t>
            </w:r>
            <w:r w:rsidRPr="00BB0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07D">
              <w:rPr>
                <w:rFonts w:ascii="Arial" w:hAnsi="Arial" w:cs="Arial"/>
                <w:sz w:val="18"/>
                <w:szCs w:val="18"/>
              </w:rPr>
              <w:t>r</w:t>
            </w:r>
            <w:r w:rsidRPr="00BB007D">
              <w:rPr>
                <w:rFonts w:ascii="Arial" w:hAnsi="Arial" w:cs="Arial"/>
                <w:sz w:val="18"/>
                <w:szCs w:val="18"/>
              </w:rPr>
              <w:t>ivaroxaban</w:t>
            </w:r>
            <w:r w:rsidR="00357B70">
              <w:rPr>
                <w:rFonts w:ascii="Arial" w:hAnsi="Arial" w:cs="Arial"/>
                <w:sz w:val="18"/>
                <w:szCs w:val="18"/>
              </w:rPr>
              <w:t xml:space="preserve"> can be considered</w:t>
            </w:r>
            <w:r w:rsidRPr="00BB007D">
              <w:rPr>
                <w:rFonts w:ascii="Arial" w:hAnsi="Arial" w:cs="Arial"/>
                <w:sz w:val="18"/>
                <w:szCs w:val="18"/>
              </w:rPr>
              <w:t xml:space="preserve"> (renal function permitting</w:t>
            </w:r>
            <w:r w:rsidR="00357B70">
              <w:rPr>
                <w:rFonts w:ascii="Arial" w:hAnsi="Arial" w:cs="Arial"/>
                <w:sz w:val="18"/>
                <w:szCs w:val="18"/>
              </w:rPr>
              <w:t>,</w:t>
            </w:r>
            <w:r w:rsidR="003F41DF">
              <w:rPr>
                <w:rFonts w:ascii="Arial" w:hAnsi="Arial" w:cs="Arial"/>
                <w:sz w:val="18"/>
                <w:szCs w:val="18"/>
              </w:rPr>
              <w:t xml:space="preserve"> aware this is not PBS funded</w:t>
            </w:r>
            <w:r w:rsidR="00357B70">
              <w:rPr>
                <w:rFonts w:ascii="Arial" w:hAnsi="Arial" w:cs="Arial"/>
                <w:sz w:val="18"/>
                <w:szCs w:val="18"/>
              </w:rPr>
              <w:t>, limited evidence in hip fractures</w:t>
            </w:r>
            <w:r w:rsidRPr="00BB007D">
              <w:rPr>
                <w:rFonts w:ascii="Arial" w:hAnsi="Arial" w:cs="Arial"/>
                <w:sz w:val="18"/>
                <w:szCs w:val="18"/>
              </w:rPr>
              <w:t>) as an alternative agent. Dosing is as follows:</w:t>
            </w:r>
          </w:p>
          <w:p w:rsidR="00C54F67" w:rsidRPr="00BB007D" w:rsidRDefault="00C54F67" w:rsidP="00FB2BF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4F67" w:rsidRPr="00BB007D" w:rsidRDefault="00357B70" w:rsidP="00FB2B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57B7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line/recommended agent - </w:t>
            </w:r>
            <w:r w:rsidR="00C54F67" w:rsidRPr="00BB007D">
              <w:rPr>
                <w:rFonts w:ascii="Arial" w:hAnsi="Arial" w:cs="Arial"/>
                <w:b/>
                <w:sz w:val="18"/>
                <w:szCs w:val="18"/>
              </w:rPr>
              <w:t xml:space="preserve">Enoxaparin </w:t>
            </w:r>
            <w:r w:rsidR="00BB007D" w:rsidRPr="00BB007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C54F67" w:rsidRPr="00BB007D">
              <w:rPr>
                <w:rFonts w:ascii="Arial" w:hAnsi="Arial" w:cs="Arial"/>
                <w:b/>
                <w:sz w:val="18"/>
                <w:szCs w:val="18"/>
              </w:rPr>
              <w:t>clexane</w:t>
            </w:r>
            <w:proofErr w:type="spellEnd"/>
            <w:r w:rsidR="00BB007D" w:rsidRPr="00BB007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C54F67" w:rsidRPr="00BB007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6792"/>
            </w:tblGrid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Weight (kg)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Dose</w:t>
                  </w:r>
                </w:p>
              </w:tc>
            </w:tr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&lt; 50 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20 mg </w:t>
                  </w:r>
                  <w:proofErr w:type="spell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subcut</w:t>
                  </w:r>
                  <w:proofErr w:type="spell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daily</w:t>
                  </w:r>
                </w:p>
              </w:tc>
            </w:tr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proofErr w:type="gram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50  –</w:t>
                  </w:r>
                  <w:proofErr w:type="gram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120 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proofErr w:type="gram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40  mg</w:t>
                  </w:r>
                  <w:proofErr w:type="gram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</w:t>
                  </w:r>
                  <w:proofErr w:type="spell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subcut</w:t>
                  </w:r>
                  <w:proofErr w:type="spell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daily</w:t>
                  </w:r>
                </w:p>
              </w:tc>
            </w:tr>
            <w:tr w:rsidR="00FB2BF5" w:rsidRPr="00BB007D" w:rsidTr="001F58A5">
              <w:trPr>
                <w:trHeight w:val="195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120 - 160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tabs>
                      <w:tab w:val="left" w:pos="3299"/>
                    </w:tabs>
                    <w:ind w:right="-171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proofErr w:type="gram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60  mg</w:t>
                  </w:r>
                  <w:proofErr w:type="gram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</w:t>
                  </w:r>
                  <w:proofErr w:type="spell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subcut</w:t>
                  </w:r>
                  <w:proofErr w:type="spell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daily or 30 mg </w:t>
                  </w:r>
                  <w:proofErr w:type="spellStart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subcut</w:t>
                  </w:r>
                  <w:proofErr w:type="spellEnd"/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 BD</w:t>
                  </w: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vertAlign w:val="superscript"/>
                      <w:lang w:eastAsia="en-AU"/>
                    </w:rPr>
                    <w:t>#</w:t>
                  </w:r>
                </w:p>
              </w:tc>
            </w:tr>
            <w:tr w:rsidR="00FB2BF5" w:rsidRPr="00BB007D" w:rsidTr="001F58A5">
              <w:trPr>
                <w:trHeight w:val="195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 xml:space="preserve">&gt; 160 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ind w:right="-1710"/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Consult the Haematology unit*</w:t>
                  </w:r>
                </w:p>
              </w:tc>
            </w:tr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b/>
                      <w:bCs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Renal function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eGFR ≥ 30 ml/min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Dosing as per weight</w:t>
                  </w:r>
                </w:p>
              </w:tc>
            </w:tr>
            <w:tr w:rsidR="00FB2BF5" w:rsidRPr="00BB007D" w:rsidTr="001F58A5">
              <w:trPr>
                <w:trHeight w:val="196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eGFR &lt; 30 ml/min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Half weight dose</w:t>
                  </w:r>
                </w:p>
              </w:tc>
            </w:tr>
            <w:tr w:rsidR="00FB2BF5" w:rsidRPr="00BB007D" w:rsidTr="001F58A5">
              <w:trPr>
                <w:trHeight w:val="207"/>
              </w:trPr>
              <w:tc>
                <w:tcPr>
                  <w:tcW w:w="3084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Dialysis patients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FB2BF5" w:rsidRPr="00BB007D" w:rsidRDefault="00FB2BF5" w:rsidP="00357B70">
                  <w:pPr>
                    <w:framePr w:hSpace="180" w:wrap="around" w:vAnchor="text" w:hAnchor="margin" w:x="216" w:y="94"/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</w:pPr>
                  <w:r w:rsidRPr="00BB007D">
                    <w:rPr>
                      <w:rFonts w:ascii="Arial" w:eastAsia="MS PGothic" w:hAnsi="Arial" w:cs="Arial"/>
                      <w:color w:val="000000"/>
                      <w:kern w:val="24"/>
                      <w:sz w:val="18"/>
                      <w:szCs w:val="18"/>
                      <w:lang w:eastAsia="en-AU"/>
                    </w:rPr>
                    <w:t>Consult the Haematology or Renal unit</w:t>
                  </w:r>
                </w:p>
              </w:tc>
            </w:tr>
          </w:tbl>
          <w:p w:rsidR="00FB2BF5" w:rsidRPr="00BB007D" w:rsidRDefault="00FB2BF5" w:rsidP="00FB2BF5">
            <w:pPr>
              <w:rPr>
                <w:rFonts w:ascii="Arial" w:hAnsi="Arial" w:cs="Arial"/>
                <w:sz w:val="16"/>
                <w:szCs w:val="16"/>
              </w:rPr>
            </w:pPr>
            <w:r w:rsidRPr="00BB007D">
              <w:rPr>
                <w:rFonts w:ascii="Arial" w:eastAsia="MS PGothic" w:hAnsi="Arial" w:cs="Arial"/>
                <w:color w:val="000000"/>
                <w:kern w:val="24"/>
                <w:sz w:val="16"/>
                <w:szCs w:val="16"/>
                <w:vertAlign w:val="superscript"/>
                <w:lang w:eastAsia="en-AU"/>
              </w:rPr>
              <w:t xml:space="preserve"># </w:t>
            </w:r>
            <w:r w:rsidRPr="00BB007D">
              <w:rPr>
                <w:rFonts w:ascii="Arial" w:eastAsia="MS PGothic" w:hAnsi="Arial" w:cs="Arial"/>
                <w:color w:val="000000"/>
                <w:kern w:val="24"/>
                <w:sz w:val="16"/>
                <w:szCs w:val="16"/>
                <w:lang w:eastAsia="en-AU"/>
              </w:rPr>
              <w:t>Clearance may be increased in the obese patients so consider BD dosing</w:t>
            </w:r>
          </w:p>
          <w:p w:rsidR="00C54F67" w:rsidRPr="00BB007D" w:rsidRDefault="00FB2BF5" w:rsidP="00C54F67">
            <w:pPr>
              <w:rPr>
                <w:rFonts w:ascii="Arial" w:hAnsi="Arial" w:cs="Arial"/>
                <w:sz w:val="16"/>
                <w:szCs w:val="16"/>
              </w:rPr>
            </w:pPr>
            <w:r w:rsidRPr="00BB007D">
              <w:rPr>
                <w:rFonts w:ascii="Arial" w:hAnsi="Arial" w:cs="Arial"/>
                <w:sz w:val="16"/>
                <w:szCs w:val="16"/>
              </w:rPr>
              <w:t xml:space="preserve">* Scientific evidence to guide Enoxaparin dosing in morbidly obese patients is limited and clinical judgement is required. Consider monitoring anti-factor </w:t>
            </w:r>
            <w:proofErr w:type="spellStart"/>
            <w:r w:rsidRPr="00BB007D">
              <w:rPr>
                <w:rFonts w:ascii="Arial" w:hAnsi="Arial" w:cs="Arial"/>
                <w:sz w:val="16"/>
                <w:szCs w:val="16"/>
              </w:rPr>
              <w:t>Xa</w:t>
            </w:r>
            <w:proofErr w:type="spellEnd"/>
            <w:r w:rsidRPr="00BB007D">
              <w:rPr>
                <w:rFonts w:ascii="Arial" w:hAnsi="Arial" w:cs="Arial"/>
                <w:sz w:val="16"/>
                <w:szCs w:val="16"/>
              </w:rPr>
              <w:t xml:space="preserve"> levels</w:t>
            </w:r>
          </w:p>
          <w:p w:rsidR="00C54F67" w:rsidRPr="00BB007D" w:rsidRDefault="00BB007D" w:rsidP="00BB00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B007D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</w:p>
          <w:p w:rsidR="00C54F67" w:rsidRPr="00BB007D" w:rsidRDefault="00357B70" w:rsidP="00C54F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57B7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line (when enoxaparin not tolerated, limited evidence available) - </w:t>
            </w:r>
            <w:r w:rsidR="00C54F67" w:rsidRPr="00BB007D">
              <w:rPr>
                <w:rFonts w:ascii="Arial" w:hAnsi="Arial" w:cs="Arial"/>
                <w:b/>
                <w:sz w:val="18"/>
                <w:szCs w:val="18"/>
              </w:rPr>
              <w:t>Rivaroxaban:</w:t>
            </w:r>
          </w:p>
          <w:p w:rsidR="00C54F67" w:rsidRPr="00BB007D" w:rsidRDefault="00C54F67" w:rsidP="00C54F67">
            <w:pPr>
              <w:rPr>
                <w:rFonts w:ascii="Arial" w:hAnsi="Arial" w:cs="Arial"/>
                <w:sz w:val="18"/>
                <w:szCs w:val="18"/>
              </w:rPr>
            </w:pPr>
            <w:r w:rsidRPr="00BB007D">
              <w:rPr>
                <w:rFonts w:ascii="Arial" w:hAnsi="Arial" w:cs="Arial"/>
                <w:sz w:val="18"/>
                <w:szCs w:val="18"/>
              </w:rPr>
              <w:t xml:space="preserve">10mg oral daily </w:t>
            </w:r>
            <w:r w:rsidR="00F15A2B" w:rsidRPr="00BB007D">
              <w:rPr>
                <w:rFonts w:ascii="Arial" w:hAnsi="Arial" w:cs="Arial"/>
                <w:sz w:val="18"/>
                <w:szCs w:val="18"/>
              </w:rPr>
              <w:br/>
              <w:t>(contraindicated in severe renal impairment</w:t>
            </w:r>
            <w:r w:rsidR="00654693">
              <w:rPr>
                <w:rFonts w:ascii="Arial" w:hAnsi="Arial" w:cs="Arial"/>
                <w:sz w:val="18"/>
                <w:szCs w:val="18"/>
              </w:rPr>
              <w:t>*** check with pharmacy re: cost on discharge</w:t>
            </w:r>
            <w:r w:rsidR="003F41D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54F67" w:rsidRPr="00C54F67" w:rsidRDefault="00C54F67" w:rsidP="00C54F67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2B5E" w:rsidRPr="001E3132" w:rsidTr="00C54F67">
        <w:trPr>
          <w:trHeight w:val="326"/>
        </w:trPr>
        <w:tc>
          <w:tcPr>
            <w:tcW w:w="10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B2B5E" w:rsidRPr="004B2B5E" w:rsidRDefault="00FB2BF5" w:rsidP="00B40E7F">
            <w:pPr>
              <w:pStyle w:val="Footer"/>
              <w:widowControl/>
              <w:tabs>
                <w:tab w:val="clear" w:pos="4153"/>
                <w:tab w:val="left" w:pos="720"/>
                <w:tab w:val="center" w:pos="8280"/>
              </w:tabs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Discharge Planning</w:t>
            </w:r>
          </w:p>
        </w:tc>
      </w:tr>
      <w:tr w:rsidR="00FB2BF5" w:rsidRPr="001E3132" w:rsidTr="004B624F">
        <w:trPr>
          <w:trHeight w:val="4588"/>
        </w:trPr>
        <w:tc>
          <w:tcPr>
            <w:tcW w:w="10471" w:type="dxa"/>
            <w:tcBorders>
              <w:top w:val="single" w:sz="12" w:space="0" w:color="auto"/>
            </w:tcBorders>
          </w:tcPr>
          <w:p w:rsidR="00FB2BF5" w:rsidRDefault="00FB2BF5" w:rsidP="00FB2BF5">
            <w:pPr>
              <w:pStyle w:val="ListParagraph"/>
              <w:numPr>
                <w:ilvl w:val="0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Patients moving from an acute ward to a subacute ward should have prophylactic</w:t>
            </w:r>
            <w:r w:rsidR="003F41DF">
              <w:rPr>
                <w:rFonts w:ascii="Arial" w:hAnsi="Arial" w:cs="Arial"/>
                <w:sz w:val="18"/>
                <w:szCs w:val="22"/>
              </w:rPr>
              <w:t xml:space="preserve"> enoxaparin </w:t>
            </w:r>
            <w:r>
              <w:rPr>
                <w:rFonts w:ascii="Arial" w:hAnsi="Arial" w:cs="Arial"/>
                <w:sz w:val="18"/>
                <w:szCs w:val="22"/>
              </w:rPr>
              <w:t>continued on transfer.</w:t>
            </w:r>
          </w:p>
          <w:p w:rsidR="00FB2BF5" w:rsidRDefault="00FB2BF5" w:rsidP="00FB2BF5">
            <w:pPr>
              <w:pStyle w:val="ListParagraph"/>
              <w:spacing w:before="60" w:after="60"/>
              <w:ind w:left="360" w:right="72"/>
              <w:rPr>
                <w:rFonts w:ascii="Arial" w:hAnsi="Arial" w:cs="Arial"/>
                <w:sz w:val="18"/>
                <w:szCs w:val="22"/>
              </w:rPr>
            </w:pPr>
          </w:p>
          <w:p w:rsidR="00FB2BF5" w:rsidRDefault="00FB2BF5" w:rsidP="00FB2BF5">
            <w:pPr>
              <w:pStyle w:val="ListParagraph"/>
              <w:numPr>
                <w:ilvl w:val="0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Patients being discharged to residential care will need to have</w:t>
            </w:r>
            <w:r w:rsidR="003F41DF">
              <w:rPr>
                <w:rFonts w:ascii="Arial" w:hAnsi="Arial" w:cs="Arial"/>
                <w:sz w:val="18"/>
                <w:szCs w:val="22"/>
              </w:rPr>
              <w:t xml:space="preserve"> enoxaparin </w:t>
            </w:r>
            <w:r>
              <w:rPr>
                <w:rFonts w:ascii="Arial" w:hAnsi="Arial" w:cs="Arial"/>
                <w:sz w:val="18"/>
                <w:szCs w:val="22"/>
              </w:rPr>
              <w:t xml:space="preserve">included on their discharge prescription to supply a </w:t>
            </w:r>
            <w:r w:rsidRPr="00357B70">
              <w:rPr>
                <w:rFonts w:ascii="Arial" w:hAnsi="Arial" w:cs="Arial"/>
                <w:b/>
                <w:sz w:val="18"/>
                <w:szCs w:val="22"/>
              </w:rPr>
              <w:t>total of 28 days of</w:t>
            </w:r>
            <w:r w:rsidR="003F41DF" w:rsidRPr="00357B70">
              <w:rPr>
                <w:rFonts w:ascii="Arial" w:hAnsi="Arial" w:cs="Arial"/>
                <w:b/>
                <w:sz w:val="18"/>
                <w:szCs w:val="22"/>
              </w:rPr>
              <w:t xml:space="preserve"> enoxaparin </w:t>
            </w:r>
            <w:r w:rsidRPr="00357B70">
              <w:rPr>
                <w:rFonts w:ascii="Arial" w:hAnsi="Arial" w:cs="Arial"/>
                <w:b/>
                <w:sz w:val="18"/>
                <w:szCs w:val="22"/>
              </w:rPr>
              <w:t>from the date of surgery</w:t>
            </w:r>
          </w:p>
          <w:p w:rsidR="00FB2BF5" w:rsidRPr="00853849" w:rsidRDefault="00FB2BF5" w:rsidP="00FB2BF5">
            <w:pPr>
              <w:pStyle w:val="ListParagraph"/>
              <w:rPr>
                <w:rFonts w:ascii="Arial" w:hAnsi="Arial" w:cs="Arial"/>
                <w:sz w:val="18"/>
                <w:szCs w:val="22"/>
              </w:rPr>
            </w:pPr>
          </w:p>
          <w:p w:rsidR="004B624F" w:rsidRPr="004B624F" w:rsidRDefault="00FB2BF5" w:rsidP="004B624F">
            <w:pPr>
              <w:pStyle w:val="ListParagraph"/>
              <w:numPr>
                <w:ilvl w:val="0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Patients being discharged home</w:t>
            </w:r>
            <w:r w:rsidR="00BB007D">
              <w:rPr>
                <w:rFonts w:ascii="Arial" w:hAnsi="Arial" w:cs="Arial"/>
                <w:sz w:val="18"/>
                <w:szCs w:val="22"/>
              </w:rPr>
              <w:t xml:space="preserve"> with enoxaparin or rivaroxaban </w:t>
            </w:r>
            <w:r>
              <w:rPr>
                <w:rFonts w:ascii="Arial" w:hAnsi="Arial" w:cs="Arial"/>
                <w:sz w:val="18"/>
                <w:szCs w:val="22"/>
              </w:rPr>
              <w:t>will need to have</w:t>
            </w:r>
            <w:r w:rsidR="00C54F67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BB007D">
              <w:rPr>
                <w:rFonts w:ascii="Arial" w:hAnsi="Arial" w:cs="Arial"/>
                <w:sz w:val="18"/>
                <w:szCs w:val="22"/>
              </w:rPr>
              <w:t xml:space="preserve">it </w:t>
            </w:r>
            <w:r>
              <w:rPr>
                <w:rFonts w:ascii="Arial" w:hAnsi="Arial" w:cs="Arial"/>
                <w:sz w:val="18"/>
                <w:szCs w:val="22"/>
              </w:rPr>
              <w:t xml:space="preserve">included on their discharge prescription to supply a total of 28 days from the date of surgery. </w:t>
            </w:r>
            <w:r w:rsidR="00BB007D">
              <w:rPr>
                <w:rFonts w:ascii="Arial" w:hAnsi="Arial" w:cs="Arial"/>
                <w:sz w:val="18"/>
                <w:szCs w:val="22"/>
              </w:rPr>
              <w:t>If discharged home with enoxaparin c</w:t>
            </w:r>
            <w:r>
              <w:rPr>
                <w:rFonts w:ascii="Arial" w:hAnsi="Arial" w:cs="Arial"/>
                <w:sz w:val="18"/>
                <w:szCs w:val="22"/>
              </w:rPr>
              <w:t>onsider:</w:t>
            </w:r>
          </w:p>
          <w:p w:rsidR="004B624F" w:rsidRPr="00853849" w:rsidRDefault="004B624F" w:rsidP="004B624F">
            <w:pPr>
              <w:pStyle w:val="ListParagraph"/>
              <w:rPr>
                <w:rFonts w:ascii="Arial" w:hAnsi="Arial" w:cs="Arial"/>
                <w:sz w:val="18"/>
                <w:szCs w:val="22"/>
              </w:rPr>
            </w:pPr>
            <w:bookmarkStart w:id="0" w:name="_GoBack"/>
            <w:bookmarkEnd w:id="0"/>
          </w:p>
          <w:p w:rsidR="004B624F" w:rsidRDefault="004B624F" w:rsidP="004B624F">
            <w:pPr>
              <w:pStyle w:val="ListParagraph"/>
              <w:numPr>
                <w:ilvl w:val="1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Is the patient able to learn to self-administer enoxaparin? If yes, discuss with nursing staff early during post-operative period so that there is adequate time to train the patient.</w:t>
            </w:r>
          </w:p>
          <w:p w:rsidR="004B624F" w:rsidRDefault="004B624F" w:rsidP="004B624F">
            <w:pPr>
              <w:pStyle w:val="ListParagraph"/>
              <w:numPr>
                <w:ilvl w:val="1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Alternatively, is a carer able and available to administer a daily dose of enoxaparin to the patient at home? If yes, discuss with nursing staff early during post-operative period so that there is adequate time to arrange carer training.</w:t>
            </w:r>
          </w:p>
          <w:p w:rsidR="004B624F" w:rsidRPr="004B624F" w:rsidRDefault="004B624F" w:rsidP="004B624F">
            <w:pPr>
              <w:pStyle w:val="Footer"/>
              <w:widowControl/>
              <w:numPr>
                <w:ilvl w:val="1"/>
                <w:numId w:val="20"/>
              </w:numPr>
              <w:tabs>
                <w:tab w:val="clear" w:pos="4153"/>
                <w:tab w:val="left" w:pos="720"/>
                <w:tab w:val="center" w:pos="8280"/>
              </w:tabs>
              <w:spacing w:before="6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If neither the patient nor a carer will be able to administer enoxaparin at home, discuss with nursing staff the need for referral to Bolton Clarke for home medication administration, at least 2 days prior to estimated day of discharge.</w:t>
            </w:r>
          </w:p>
          <w:p w:rsidR="004B624F" w:rsidRPr="004B624F" w:rsidRDefault="004B624F" w:rsidP="004B624F">
            <w:pPr>
              <w:pStyle w:val="ListParagraph"/>
              <w:rPr>
                <w:rFonts w:ascii="Arial" w:hAnsi="Arial" w:cs="Arial"/>
                <w:sz w:val="18"/>
                <w:szCs w:val="22"/>
              </w:rPr>
            </w:pPr>
          </w:p>
          <w:p w:rsidR="004B624F" w:rsidRDefault="004B624F" w:rsidP="00FB2BF5">
            <w:pPr>
              <w:pStyle w:val="ListParagraph"/>
              <w:numPr>
                <w:ilvl w:val="0"/>
                <w:numId w:val="20"/>
              </w:numPr>
              <w:spacing w:before="60" w:after="60"/>
              <w:ind w:right="72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Alternatively, if a patient declines the 28 days of enoxaparin, Rivaroxaban can be prescribed instead, however this is not PBS-funded and a cost may be incurred to the patient</w:t>
            </w:r>
          </w:p>
          <w:p w:rsidR="004B624F" w:rsidRPr="00D165F2" w:rsidRDefault="004B624F" w:rsidP="004B624F">
            <w:pPr>
              <w:pStyle w:val="Footer"/>
              <w:widowControl/>
              <w:tabs>
                <w:tab w:val="clear" w:pos="4153"/>
                <w:tab w:val="left" w:pos="720"/>
                <w:tab w:val="center" w:pos="8280"/>
              </w:tabs>
              <w:spacing w:before="60" w:after="60"/>
              <w:ind w:left="108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406B36" w:rsidRDefault="00406B36" w:rsidP="004B624F">
      <w:pPr>
        <w:rPr>
          <w:rFonts w:ascii="Arial" w:hAnsi="Arial" w:cs="Arial"/>
          <w:b/>
          <w:u w:val="single"/>
          <w:lang w:val="en-US" w:eastAsia="en-AU"/>
        </w:rPr>
      </w:pPr>
    </w:p>
    <w:sectPr w:rsidR="00406B36" w:rsidSect="005405AE">
      <w:footerReference w:type="default" r:id="rId9"/>
      <w:pgSz w:w="11906" w:h="16838"/>
      <w:pgMar w:top="426" w:right="707" w:bottom="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72" w:rsidRDefault="00187672" w:rsidP="00187672">
      <w:r>
        <w:separator/>
      </w:r>
    </w:p>
  </w:endnote>
  <w:endnote w:type="continuationSeparator" w:id="0">
    <w:p w:rsidR="00187672" w:rsidRDefault="00187672" w:rsidP="0018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2" w:rsidRPr="00187672" w:rsidRDefault="00187672">
    <w:pPr>
      <w:pStyle w:val="Footer"/>
      <w:rPr>
        <w:rFonts w:ascii="Arial" w:hAnsi="Arial" w:cs="Arial"/>
        <w:sz w:val="16"/>
        <w:szCs w:val="16"/>
      </w:rPr>
    </w:pPr>
    <w:r w:rsidRPr="00187672">
      <w:rPr>
        <w:rFonts w:ascii="Arial" w:hAnsi="Arial" w:cs="Arial"/>
        <w:sz w:val="16"/>
        <w:szCs w:val="16"/>
      </w:rPr>
      <w:t>V</w:t>
    </w:r>
    <w:r w:rsidR="00456551">
      <w:rPr>
        <w:rFonts w:ascii="Arial" w:hAnsi="Arial" w:cs="Arial"/>
        <w:sz w:val="16"/>
        <w:szCs w:val="16"/>
      </w:rPr>
      <w:t xml:space="preserve">ersion </w:t>
    </w:r>
    <w:r w:rsidR="004B624F">
      <w:rPr>
        <w:rFonts w:ascii="Arial" w:hAnsi="Arial" w:cs="Arial"/>
        <w:sz w:val="16"/>
        <w:szCs w:val="16"/>
      </w:rPr>
      <w:t>10/07/</w:t>
    </w:r>
    <w:r w:rsidR="001F58A5">
      <w:rPr>
        <w:rFonts w:ascii="Arial" w:hAnsi="Arial" w:cs="Arial"/>
        <w:sz w:val="16"/>
        <w:szCs w:val="16"/>
      </w:rPr>
      <w:t>/202</w:t>
    </w:r>
    <w:r w:rsidR="004B624F">
      <w:rPr>
        <w:rFonts w:ascii="Arial" w:hAnsi="Arial" w:cs="Arial"/>
        <w:sz w:val="16"/>
        <w:szCs w:val="16"/>
      </w:rPr>
      <w:t>3</w:t>
    </w:r>
    <w:r w:rsidRPr="00187672">
      <w:rPr>
        <w:rFonts w:ascii="Arial" w:hAnsi="Arial" w:cs="Arial"/>
        <w:sz w:val="16"/>
        <w:szCs w:val="16"/>
      </w:rPr>
      <w:t xml:space="preserve">. Author </w:t>
    </w:r>
    <w:r w:rsidR="001F58A5">
      <w:rPr>
        <w:rFonts w:ascii="Arial" w:hAnsi="Arial" w:cs="Arial"/>
        <w:sz w:val="16"/>
        <w:szCs w:val="16"/>
      </w:rPr>
      <w:t>Lauren Nacey</w:t>
    </w:r>
    <w:r w:rsidR="004B624F">
      <w:rPr>
        <w:rFonts w:ascii="Arial" w:hAnsi="Arial" w:cs="Arial"/>
        <w:sz w:val="16"/>
        <w:szCs w:val="16"/>
      </w:rPr>
      <w:t>, Roger Ho</w:t>
    </w:r>
  </w:p>
  <w:p w:rsidR="00187672" w:rsidRDefault="00187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72" w:rsidRDefault="00187672" w:rsidP="00187672">
      <w:r>
        <w:separator/>
      </w:r>
    </w:p>
  </w:footnote>
  <w:footnote w:type="continuationSeparator" w:id="0">
    <w:p w:rsidR="00187672" w:rsidRDefault="00187672" w:rsidP="0018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298_"/>
      </v:shape>
    </w:pict>
  </w:numPicBullet>
  <w:abstractNum w:abstractNumId="0" w15:restartNumberingAfterBreak="0">
    <w:nsid w:val="14180649"/>
    <w:multiLevelType w:val="hybridMultilevel"/>
    <w:tmpl w:val="1BA60EC4"/>
    <w:lvl w:ilvl="0" w:tplc="FB406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6618A"/>
    <w:multiLevelType w:val="hybridMultilevel"/>
    <w:tmpl w:val="48E04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E0180"/>
    <w:multiLevelType w:val="hybridMultilevel"/>
    <w:tmpl w:val="AA2CC7EC"/>
    <w:lvl w:ilvl="0" w:tplc="04090005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B2506"/>
    <w:multiLevelType w:val="hybridMultilevel"/>
    <w:tmpl w:val="3FC48FFA"/>
    <w:lvl w:ilvl="0" w:tplc="9DD22E28">
      <w:start w:val="1"/>
      <w:numFmt w:val="bullet"/>
      <w:lvlText w:val=""/>
      <w:lvlJc w:val="left"/>
      <w:pPr>
        <w:tabs>
          <w:tab w:val="num" w:pos="-2508"/>
        </w:tabs>
        <w:ind w:left="-2508" w:hanging="360"/>
      </w:pPr>
      <w:rPr>
        <w:rFonts w:ascii="Symbol" w:hAnsi="Symbol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68"/>
        </w:tabs>
        <w:ind w:left="-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</w:abstractNum>
  <w:abstractNum w:abstractNumId="4" w15:restartNumberingAfterBreak="0">
    <w:nsid w:val="20E7062F"/>
    <w:multiLevelType w:val="hybridMultilevel"/>
    <w:tmpl w:val="B4EC4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A7F8864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lbertus Medium" w:hAnsi="Albertus Medium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D4027"/>
    <w:multiLevelType w:val="hybridMultilevel"/>
    <w:tmpl w:val="9DBCB3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477ED"/>
    <w:multiLevelType w:val="hybridMultilevel"/>
    <w:tmpl w:val="260E748A"/>
    <w:lvl w:ilvl="0" w:tplc="216A69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A2ECD"/>
    <w:multiLevelType w:val="hybridMultilevel"/>
    <w:tmpl w:val="61F67E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lbertus Medium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lbertus Medium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2DF4869"/>
    <w:multiLevelType w:val="hybridMultilevel"/>
    <w:tmpl w:val="56A8DA8C"/>
    <w:lvl w:ilvl="0" w:tplc="216A69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0D2D"/>
    <w:multiLevelType w:val="hybridMultilevel"/>
    <w:tmpl w:val="CFF6B0D6"/>
    <w:lvl w:ilvl="0" w:tplc="04090001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02339"/>
    <w:multiLevelType w:val="hybridMultilevel"/>
    <w:tmpl w:val="B08466B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F56E4D"/>
    <w:multiLevelType w:val="hybridMultilevel"/>
    <w:tmpl w:val="78827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0AA3"/>
    <w:multiLevelType w:val="hybridMultilevel"/>
    <w:tmpl w:val="11C40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33F86"/>
    <w:multiLevelType w:val="hybridMultilevel"/>
    <w:tmpl w:val="7384105C"/>
    <w:lvl w:ilvl="0" w:tplc="216A69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F160D"/>
    <w:multiLevelType w:val="hybridMultilevel"/>
    <w:tmpl w:val="798EB028"/>
    <w:lvl w:ilvl="0" w:tplc="6BEE02E8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F2F4E"/>
    <w:multiLevelType w:val="hybridMultilevel"/>
    <w:tmpl w:val="0EE4BC72"/>
    <w:lvl w:ilvl="0" w:tplc="0BE6EC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F0909"/>
    <w:multiLevelType w:val="hybridMultilevel"/>
    <w:tmpl w:val="B8E0F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A7F8864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lbertus Medium" w:hAnsi="Albertus Medium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8429F"/>
    <w:multiLevelType w:val="hybridMultilevel"/>
    <w:tmpl w:val="60144FC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2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14EE4"/>
    <w:multiLevelType w:val="hybridMultilevel"/>
    <w:tmpl w:val="9B92BA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80DAA"/>
    <w:multiLevelType w:val="hybridMultilevel"/>
    <w:tmpl w:val="BF70D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4911"/>
    <w:multiLevelType w:val="hybridMultilevel"/>
    <w:tmpl w:val="412249D6"/>
    <w:lvl w:ilvl="0" w:tplc="9DD22E28">
      <w:start w:val="1"/>
      <w:numFmt w:val="bullet"/>
      <w:lvlText w:val=""/>
      <w:lvlJc w:val="left"/>
      <w:pPr>
        <w:tabs>
          <w:tab w:val="num" w:pos="-2508"/>
        </w:tabs>
        <w:ind w:left="-2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788"/>
        </w:tabs>
        <w:ind w:left="-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68"/>
        </w:tabs>
        <w:ind w:left="-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</w:abstractNum>
  <w:abstractNum w:abstractNumId="21" w15:restartNumberingAfterBreak="0">
    <w:nsid w:val="5E2276BB"/>
    <w:multiLevelType w:val="hybridMultilevel"/>
    <w:tmpl w:val="603E874E"/>
    <w:lvl w:ilvl="0" w:tplc="04090001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4389C"/>
    <w:multiLevelType w:val="hybridMultilevel"/>
    <w:tmpl w:val="FAAC65A0"/>
    <w:lvl w:ilvl="0" w:tplc="04090001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AD5D27"/>
    <w:multiLevelType w:val="hybridMultilevel"/>
    <w:tmpl w:val="BAEC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A7F8864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lbertus Medium" w:hAnsi="Albertus Medium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82711"/>
    <w:multiLevelType w:val="hybridMultilevel"/>
    <w:tmpl w:val="78EED26C"/>
    <w:lvl w:ilvl="0" w:tplc="559CA1E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D81576"/>
    <w:multiLevelType w:val="hybridMultilevel"/>
    <w:tmpl w:val="7C88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8864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lbertus Medium" w:hAnsi="Albertus Medium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5D227D"/>
    <w:multiLevelType w:val="hybridMultilevel"/>
    <w:tmpl w:val="7AA23E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D74443"/>
    <w:multiLevelType w:val="hybridMultilevel"/>
    <w:tmpl w:val="C75C9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331AD2"/>
    <w:multiLevelType w:val="hybridMultilevel"/>
    <w:tmpl w:val="4EBA95C8"/>
    <w:lvl w:ilvl="0" w:tplc="0E229E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Albertus Medium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B082D"/>
    <w:multiLevelType w:val="hybridMultilevel"/>
    <w:tmpl w:val="D37CF0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B275D9"/>
    <w:multiLevelType w:val="hybridMultilevel"/>
    <w:tmpl w:val="923805EA"/>
    <w:lvl w:ilvl="0" w:tplc="216A69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41FA4"/>
    <w:multiLevelType w:val="hybridMultilevel"/>
    <w:tmpl w:val="3EF002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98410D4">
      <w:start w:val="1"/>
      <w:numFmt w:val="bullet"/>
      <w:lvlText w:val=""/>
      <w:lvlJc w:val="left"/>
      <w:pPr>
        <w:tabs>
          <w:tab w:val="num" w:pos="-1788"/>
        </w:tabs>
        <w:ind w:left="-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42749D"/>
    <w:multiLevelType w:val="hybridMultilevel"/>
    <w:tmpl w:val="13F87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17"/>
  </w:num>
  <w:num w:numId="5">
    <w:abstractNumId w:val="3"/>
  </w:num>
  <w:num w:numId="6">
    <w:abstractNumId w:val="25"/>
  </w:num>
  <w:num w:numId="7">
    <w:abstractNumId w:val="29"/>
  </w:num>
  <w:num w:numId="8">
    <w:abstractNumId w:val="7"/>
  </w:num>
  <w:num w:numId="9">
    <w:abstractNumId w:val="12"/>
  </w:num>
  <w:num w:numId="10">
    <w:abstractNumId w:val="26"/>
  </w:num>
  <w:num w:numId="11">
    <w:abstractNumId w:val="28"/>
  </w:num>
  <w:num w:numId="12">
    <w:abstractNumId w:val="4"/>
  </w:num>
  <w:num w:numId="13">
    <w:abstractNumId w:val="16"/>
  </w:num>
  <w:num w:numId="14">
    <w:abstractNumId w:val="23"/>
  </w:num>
  <w:num w:numId="15">
    <w:abstractNumId w:val="31"/>
  </w:num>
  <w:num w:numId="16">
    <w:abstractNumId w:val="27"/>
  </w:num>
  <w:num w:numId="17">
    <w:abstractNumId w:val="10"/>
  </w:num>
  <w:num w:numId="18">
    <w:abstractNumId w:val="1"/>
  </w:num>
  <w:num w:numId="19">
    <w:abstractNumId w:val="14"/>
  </w:num>
  <w:num w:numId="20">
    <w:abstractNumId w:val="24"/>
  </w:num>
  <w:num w:numId="21">
    <w:abstractNumId w:val="11"/>
  </w:num>
  <w:num w:numId="22">
    <w:abstractNumId w:val="19"/>
  </w:num>
  <w:num w:numId="23">
    <w:abstractNumId w:val="2"/>
  </w:num>
  <w:num w:numId="24">
    <w:abstractNumId w:val="18"/>
  </w:num>
  <w:num w:numId="25">
    <w:abstractNumId w:val="5"/>
  </w:num>
  <w:num w:numId="26">
    <w:abstractNumId w:val="21"/>
  </w:num>
  <w:num w:numId="27">
    <w:abstractNumId w:val="30"/>
  </w:num>
  <w:num w:numId="28">
    <w:abstractNumId w:val="13"/>
  </w:num>
  <w:num w:numId="29">
    <w:abstractNumId w:val="8"/>
  </w:num>
  <w:num w:numId="30">
    <w:abstractNumId w:val="6"/>
  </w:num>
  <w:num w:numId="31">
    <w:abstractNumId w:val="15"/>
  </w:num>
  <w:num w:numId="32">
    <w:abstractNumId w:val="22"/>
  </w:num>
  <w:num w:numId="3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DE"/>
    <w:rsid w:val="00056D5C"/>
    <w:rsid w:val="000B0D0A"/>
    <w:rsid w:val="001169DE"/>
    <w:rsid w:val="00137EBD"/>
    <w:rsid w:val="001655AF"/>
    <w:rsid w:val="00174FED"/>
    <w:rsid w:val="00187672"/>
    <w:rsid w:val="001F58A5"/>
    <w:rsid w:val="0020577B"/>
    <w:rsid w:val="00206194"/>
    <w:rsid w:val="00254E05"/>
    <w:rsid w:val="002901A1"/>
    <w:rsid w:val="003054AE"/>
    <w:rsid w:val="00357B70"/>
    <w:rsid w:val="00374C73"/>
    <w:rsid w:val="0039049B"/>
    <w:rsid w:val="003F41DF"/>
    <w:rsid w:val="00406B36"/>
    <w:rsid w:val="00422320"/>
    <w:rsid w:val="00431193"/>
    <w:rsid w:val="0043392B"/>
    <w:rsid w:val="00441EFE"/>
    <w:rsid w:val="004534FC"/>
    <w:rsid w:val="00456551"/>
    <w:rsid w:val="004B2B5E"/>
    <w:rsid w:val="004B624F"/>
    <w:rsid w:val="004C3EB6"/>
    <w:rsid w:val="004E5BFF"/>
    <w:rsid w:val="004F5A5A"/>
    <w:rsid w:val="00501A40"/>
    <w:rsid w:val="005405AE"/>
    <w:rsid w:val="00585F6E"/>
    <w:rsid w:val="005D1FE6"/>
    <w:rsid w:val="0061485D"/>
    <w:rsid w:val="006160E3"/>
    <w:rsid w:val="00641BE2"/>
    <w:rsid w:val="00654693"/>
    <w:rsid w:val="006760AC"/>
    <w:rsid w:val="006D066A"/>
    <w:rsid w:val="006D1E52"/>
    <w:rsid w:val="006D380D"/>
    <w:rsid w:val="006E6707"/>
    <w:rsid w:val="006F7EDE"/>
    <w:rsid w:val="00745DF6"/>
    <w:rsid w:val="00754D42"/>
    <w:rsid w:val="007574AD"/>
    <w:rsid w:val="00771B56"/>
    <w:rsid w:val="00794652"/>
    <w:rsid w:val="007B1E1F"/>
    <w:rsid w:val="00803780"/>
    <w:rsid w:val="00853849"/>
    <w:rsid w:val="008B6C2A"/>
    <w:rsid w:val="00953C99"/>
    <w:rsid w:val="009A524C"/>
    <w:rsid w:val="00A7465B"/>
    <w:rsid w:val="00A86DD5"/>
    <w:rsid w:val="00AD486D"/>
    <w:rsid w:val="00B40E7F"/>
    <w:rsid w:val="00B55C83"/>
    <w:rsid w:val="00B93277"/>
    <w:rsid w:val="00B95F32"/>
    <w:rsid w:val="00BA16C0"/>
    <w:rsid w:val="00BA4C2B"/>
    <w:rsid w:val="00BB007D"/>
    <w:rsid w:val="00BB040A"/>
    <w:rsid w:val="00BF79DE"/>
    <w:rsid w:val="00C007FE"/>
    <w:rsid w:val="00C50776"/>
    <w:rsid w:val="00C54F67"/>
    <w:rsid w:val="00C80A1A"/>
    <w:rsid w:val="00D165F2"/>
    <w:rsid w:val="00D35BD7"/>
    <w:rsid w:val="00D4402C"/>
    <w:rsid w:val="00DA0848"/>
    <w:rsid w:val="00DA10B6"/>
    <w:rsid w:val="00DB68A2"/>
    <w:rsid w:val="00DE1118"/>
    <w:rsid w:val="00DE5F08"/>
    <w:rsid w:val="00DF0A5D"/>
    <w:rsid w:val="00E52B8A"/>
    <w:rsid w:val="00EB14D1"/>
    <w:rsid w:val="00EC35A0"/>
    <w:rsid w:val="00F15A2B"/>
    <w:rsid w:val="00F8344C"/>
    <w:rsid w:val="00FA7459"/>
    <w:rsid w:val="00FB2BF5"/>
    <w:rsid w:val="00FC18A3"/>
    <w:rsid w:val="00FD54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cf,#393"/>
      <o:colormenu v:ext="edit" fillcolor="none [2412]" strokecolor="none [3213]"/>
    </o:shapedefaults>
    <o:shapelayout v:ext="edit">
      <o:idmap v:ext="edit" data="1"/>
    </o:shapelayout>
  </w:shapeDefaults>
  <w:decimalSymbol w:val="."/>
  <w:listSeparator w:val=","/>
  <w14:docId w14:val="444BF166"/>
  <w15:docId w15:val="{56464363-1F5F-47E0-9C61-41351F2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79D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79D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24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01ABE"/>
    <w:pPr>
      <w:jc w:val="center"/>
    </w:pPr>
    <w:rPr>
      <w:rFonts w:ascii="Comic Sans MS" w:hAnsi="Comic Sans MS"/>
      <w:sz w:val="16"/>
    </w:rPr>
  </w:style>
  <w:style w:type="character" w:customStyle="1" w:styleId="BodyTextChar">
    <w:name w:val="Body Text Char"/>
    <w:basedOn w:val="DefaultParagraphFont"/>
    <w:link w:val="BodyText"/>
    <w:rsid w:val="00601ABE"/>
    <w:rPr>
      <w:rFonts w:ascii="Comic Sans MS" w:hAnsi="Comic Sans MS"/>
      <w:sz w:val="16"/>
      <w:szCs w:val="24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231AB"/>
  </w:style>
  <w:style w:type="paragraph" w:styleId="BalloonText">
    <w:name w:val="Balloon Text"/>
    <w:basedOn w:val="Normal"/>
    <w:link w:val="BalloonTextChar"/>
    <w:rsid w:val="006F7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ED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169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169DE"/>
    <w:pPr>
      <w:ind w:left="720"/>
      <w:contextualSpacing/>
    </w:pPr>
  </w:style>
  <w:style w:type="character" w:styleId="CommentReference">
    <w:name w:val="annotation reference"/>
    <w:basedOn w:val="DefaultParagraphFont"/>
    <w:rsid w:val="00174F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FE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FED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187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76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fo.wh.org.au/library/scripts/objectifyMedia.aspx?file=images/444/49.jpg&amp;siteID=2&amp;str_title=wh_mast_H_cmy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DELIRIUM PATHWAY IN HOSPITAL</vt:lpstr>
    </vt:vector>
  </TitlesOfParts>
  <Company>Western Health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DELIRIUM PATHWAY IN HOSPITAL</dc:title>
  <dc:creator>mckiecc</dc:creator>
  <cp:lastModifiedBy>Nacey, Lauren</cp:lastModifiedBy>
  <cp:revision>4</cp:revision>
  <cp:lastPrinted>2010-06-21T01:49:00Z</cp:lastPrinted>
  <dcterms:created xsi:type="dcterms:W3CDTF">2023-07-04T06:11:00Z</dcterms:created>
  <dcterms:modified xsi:type="dcterms:W3CDTF">2023-09-13T03:44:00Z</dcterms:modified>
</cp:coreProperties>
</file>