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1012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50"/>
        <w:gridCol w:w="4971"/>
      </w:tblGrid>
      <w:tr w:rsidR="0079682B" w14:paraId="3494A089" w14:textId="77777777" w:rsidTr="00562EA9">
        <w:trPr>
          <w:jc w:val="center"/>
        </w:trPr>
        <w:tc>
          <w:tcPr>
            <w:tcW w:w="10121" w:type="dxa"/>
            <w:gridSpan w:val="2"/>
            <w:tcBorders>
              <w:top w:val="single" w:sz="4" w:space="0" w:color="auto"/>
              <w:bottom w:val="single" w:sz="4" w:space="0" w:color="auto"/>
            </w:tcBorders>
          </w:tcPr>
          <w:p w14:paraId="1D03C476" w14:textId="77777777" w:rsidR="002706F8" w:rsidRDefault="007708D3" w:rsidP="007D4FFF">
            <w:pPr>
              <w:widowControl w:val="0"/>
              <w:jc w:val="center"/>
              <w:rPr>
                <w:b/>
                <w:sz w:val="24"/>
              </w:rPr>
            </w:pPr>
            <w:r>
              <w:rPr>
                <w:b/>
                <w:sz w:val="28"/>
                <w:szCs w:val="28"/>
              </w:rPr>
              <w:t xml:space="preserve">Guideline for the Management of Suspected </w:t>
            </w:r>
            <w:r w:rsidR="007D4FFF">
              <w:rPr>
                <w:b/>
                <w:sz w:val="28"/>
                <w:szCs w:val="28"/>
              </w:rPr>
              <w:t>and Confirmed</w:t>
            </w:r>
            <w:sdt>
              <w:sdtPr>
                <w:tag w:val="goog_rdk_0"/>
                <w:id w:val="-479933493"/>
              </w:sdtPr>
              <w:sdtEndPr/>
              <w:sdtContent>
                <w:r w:rsidR="007D4FFF">
                  <w:t xml:space="preserve"> </w:t>
                </w:r>
              </w:sdtContent>
            </w:sdt>
            <w:r>
              <w:rPr>
                <w:b/>
                <w:sz w:val="28"/>
                <w:szCs w:val="28"/>
              </w:rPr>
              <w:t>Hip Fractures</w:t>
            </w:r>
          </w:p>
        </w:tc>
      </w:tr>
      <w:tr w:rsidR="0079682B" w14:paraId="4A8DD119" w14:textId="77777777" w:rsidTr="001E5E72">
        <w:trPr>
          <w:jc w:val="center"/>
        </w:trPr>
        <w:tc>
          <w:tcPr>
            <w:tcW w:w="10121" w:type="dxa"/>
            <w:gridSpan w:val="2"/>
            <w:shd w:val="clear" w:color="auto" w:fill="71CADA"/>
          </w:tcPr>
          <w:p w14:paraId="44DF6E0D" w14:textId="77777777" w:rsidR="003B6051" w:rsidRDefault="007708D3" w:rsidP="003B6051">
            <w:pPr>
              <w:widowControl w:val="0"/>
              <w:jc w:val="center"/>
              <w:rPr>
                <w:b/>
                <w:sz w:val="28"/>
                <w:szCs w:val="28"/>
              </w:rPr>
            </w:pPr>
            <w:r w:rsidRPr="00D228C9">
              <w:rPr>
                <w:b/>
                <w:sz w:val="20"/>
                <w:szCs w:val="20"/>
              </w:rPr>
              <w:t>This document is relevant to practice at all WH sites,</w:t>
            </w:r>
            <w:r w:rsidRPr="00EA5972">
              <w:rPr>
                <w:b/>
                <w:color w:val="ED7D31"/>
                <w:sz w:val="20"/>
                <w:szCs w:val="20"/>
              </w:rPr>
              <w:t xml:space="preserve"> </w:t>
            </w:r>
            <w:r>
              <w:rPr>
                <w:b/>
                <w:color w:val="FF0000"/>
                <w:sz w:val="20"/>
                <w:szCs w:val="20"/>
              </w:rPr>
              <w:t>EXCEPT</w:t>
            </w:r>
            <w:r w:rsidRPr="00D228C9">
              <w:rPr>
                <w:b/>
                <w:color w:val="FF0000"/>
                <w:sz w:val="20"/>
                <w:szCs w:val="20"/>
              </w:rPr>
              <w:t xml:space="preserve"> </w:t>
            </w:r>
            <w:r w:rsidRPr="00D228C9">
              <w:rPr>
                <w:b/>
                <w:sz w:val="20"/>
                <w:szCs w:val="20"/>
              </w:rPr>
              <w:t>Bacchus Marsh &amp; Melton</w:t>
            </w:r>
            <w:r>
              <w:rPr>
                <w:b/>
                <w:sz w:val="20"/>
                <w:szCs w:val="20"/>
              </w:rPr>
              <w:t xml:space="preserve"> at this stage</w:t>
            </w:r>
          </w:p>
        </w:tc>
      </w:tr>
      <w:tr w:rsidR="0079682B" w14:paraId="27774FC0" w14:textId="77777777" w:rsidTr="00562EA9">
        <w:trPr>
          <w:jc w:val="center"/>
        </w:trPr>
        <w:tc>
          <w:tcPr>
            <w:tcW w:w="5150" w:type="dxa"/>
            <w:tcBorders>
              <w:top w:val="single" w:sz="4" w:space="0" w:color="auto"/>
              <w:bottom w:val="single" w:sz="4" w:space="0" w:color="auto"/>
              <w:right w:val="single" w:sz="4" w:space="0" w:color="auto"/>
            </w:tcBorders>
          </w:tcPr>
          <w:p w14:paraId="3D9B86E5" w14:textId="77777777" w:rsidR="003B6051" w:rsidRDefault="007708D3" w:rsidP="003B6051">
            <w:pPr>
              <w:widowControl w:val="0"/>
            </w:pPr>
            <w:r>
              <w:rPr>
                <w:sz w:val="22"/>
                <w:szCs w:val="22"/>
              </w:rPr>
              <w:t>Guideline code</w:t>
            </w:r>
            <w:r>
              <w:t>: OG-CC4</w:t>
            </w:r>
          </w:p>
        </w:tc>
        <w:tc>
          <w:tcPr>
            <w:tcW w:w="4971" w:type="dxa"/>
            <w:tcBorders>
              <w:top w:val="single" w:sz="4" w:space="0" w:color="auto"/>
              <w:left w:val="single" w:sz="4" w:space="0" w:color="auto"/>
              <w:bottom w:val="single" w:sz="4" w:space="0" w:color="auto"/>
            </w:tcBorders>
          </w:tcPr>
          <w:p w14:paraId="1292DEBA" w14:textId="77777777" w:rsidR="003B6051" w:rsidRDefault="007708D3" w:rsidP="003B6051">
            <w:pPr>
              <w:widowControl w:val="0"/>
            </w:pPr>
            <w:r>
              <w:rPr>
                <w:sz w:val="22"/>
                <w:szCs w:val="22"/>
              </w:rPr>
              <w:t>Current version</w:t>
            </w:r>
            <w:r w:rsidRPr="00317484">
              <w:rPr>
                <w:szCs w:val="18"/>
              </w:rPr>
              <w:t xml:space="preserve">: January </w:t>
            </w:r>
            <w:r>
              <w:t>2022</w:t>
            </w:r>
          </w:p>
        </w:tc>
      </w:tr>
      <w:tr w:rsidR="0079682B" w14:paraId="3C49A646" w14:textId="77777777" w:rsidTr="00562EA9">
        <w:trPr>
          <w:jc w:val="center"/>
        </w:trPr>
        <w:tc>
          <w:tcPr>
            <w:tcW w:w="5150" w:type="dxa"/>
            <w:tcBorders>
              <w:top w:val="single" w:sz="4" w:space="0" w:color="auto"/>
              <w:bottom w:val="single" w:sz="4" w:space="0" w:color="auto"/>
              <w:right w:val="single" w:sz="4" w:space="0" w:color="auto"/>
            </w:tcBorders>
          </w:tcPr>
          <w:p w14:paraId="273B4BD9" w14:textId="77777777" w:rsidR="003B6051" w:rsidRDefault="007708D3" w:rsidP="003B6051">
            <w:pPr>
              <w:widowControl w:val="0"/>
            </w:pPr>
            <w:r>
              <w:rPr>
                <w:sz w:val="22"/>
                <w:szCs w:val="22"/>
              </w:rPr>
              <w:t>Previous version</w:t>
            </w:r>
            <w:r>
              <w:t xml:space="preserve">: </w:t>
            </w:r>
            <w:r>
              <w:t>November 2019</w:t>
            </w:r>
          </w:p>
        </w:tc>
        <w:tc>
          <w:tcPr>
            <w:tcW w:w="4971" w:type="dxa"/>
            <w:tcBorders>
              <w:top w:val="single" w:sz="4" w:space="0" w:color="auto"/>
              <w:left w:val="single" w:sz="4" w:space="0" w:color="auto"/>
              <w:bottom w:val="single" w:sz="4" w:space="0" w:color="auto"/>
            </w:tcBorders>
          </w:tcPr>
          <w:p w14:paraId="28D9882B" w14:textId="77777777" w:rsidR="003B6051" w:rsidRDefault="007708D3" w:rsidP="003B6051">
            <w:pPr>
              <w:widowControl w:val="0"/>
            </w:pPr>
            <w:r>
              <w:rPr>
                <w:sz w:val="22"/>
                <w:szCs w:val="22"/>
              </w:rPr>
              <w:t>Next review date</w:t>
            </w:r>
            <w:r w:rsidRPr="00317484">
              <w:rPr>
                <w:szCs w:val="18"/>
              </w:rPr>
              <w:t xml:space="preserve">: </w:t>
            </w:r>
            <w:r>
              <w:rPr>
                <w:szCs w:val="18"/>
              </w:rPr>
              <w:t>January 2025</w:t>
            </w:r>
          </w:p>
        </w:tc>
      </w:tr>
      <w:tr w:rsidR="0079682B" w14:paraId="459CC94B" w14:textId="77777777" w:rsidTr="00562EA9">
        <w:trPr>
          <w:jc w:val="center"/>
        </w:trPr>
        <w:tc>
          <w:tcPr>
            <w:tcW w:w="5150" w:type="dxa"/>
            <w:tcBorders>
              <w:top w:val="single" w:sz="4" w:space="0" w:color="auto"/>
              <w:bottom w:val="single" w:sz="4" w:space="0" w:color="auto"/>
              <w:right w:val="single" w:sz="4" w:space="0" w:color="auto"/>
            </w:tcBorders>
          </w:tcPr>
          <w:p w14:paraId="707C9E4C" w14:textId="77777777" w:rsidR="003B6051" w:rsidRDefault="007708D3" w:rsidP="003B6051">
            <w:pPr>
              <w:widowControl w:val="0"/>
            </w:pPr>
            <w:r>
              <w:rPr>
                <w:sz w:val="22"/>
                <w:szCs w:val="22"/>
              </w:rPr>
              <w:t>Section</w:t>
            </w:r>
            <w:r>
              <w:t>: Connecting Care</w:t>
            </w:r>
          </w:p>
        </w:tc>
        <w:tc>
          <w:tcPr>
            <w:tcW w:w="4971" w:type="dxa"/>
            <w:tcBorders>
              <w:top w:val="single" w:sz="4" w:space="0" w:color="auto"/>
              <w:left w:val="single" w:sz="4" w:space="0" w:color="auto"/>
              <w:bottom w:val="single" w:sz="4" w:space="0" w:color="auto"/>
            </w:tcBorders>
          </w:tcPr>
          <w:p w14:paraId="77D1C5C3" w14:textId="77777777" w:rsidR="003B6051" w:rsidRDefault="007708D3" w:rsidP="003B6051">
            <w:pPr>
              <w:widowControl w:val="0"/>
            </w:pPr>
            <w:r>
              <w:rPr>
                <w:sz w:val="22"/>
                <w:szCs w:val="22"/>
              </w:rPr>
              <w:t>Sub-Section</w:t>
            </w:r>
            <w:r>
              <w:t>: Care Assessment/Planning/Delivery</w:t>
            </w:r>
          </w:p>
        </w:tc>
      </w:tr>
      <w:tr w:rsidR="0079682B" w14:paraId="1A839532" w14:textId="77777777" w:rsidTr="00562EA9">
        <w:trPr>
          <w:jc w:val="center"/>
        </w:trPr>
        <w:tc>
          <w:tcPr>
            <w:tcW w:w="10121" w:type="dxa"/>
            <w:gridSpan w:val="2"/>
            <w:tcBorders>
              <w:top w:val="single" w:sz="4" w:space="0" w:color="auto"/>
              <w:bottom w:val="single" w:sz="4" w:space="0" w:color="auto"/>
            </w:tcBorders>
          </w:tcPr>
          <w:p w14:paraId="2AE31B0A" w14:textId="77777777" w:rsidR="003B6051" w:rsidRPr="00317484" w:rsidRDefault="007708D3" w:rsidP="003B6051">
            <w:pPr>
              <w:pStyle w:val="Heading1"/>
            </w:pPr>
            <w:r w:rsidRPr="00317484">
              <w:t>1</w:t>
            </w:r>
            <w:r>
              <w:t>.</w:t>
            </w:r>
            <w:r w:rsidRPr="00317484">
              <w:t xml:space="preserve">  Overview</w:t>
            </w:r>
          </w:p>
          <w:p w14:paraId="65910B79" w14:textId="77777777" w:rsidR="003B6051" w:rsidRDefault="007708D3" w:rsidP="003B6051">
            <w:pPr>
              <w:widowControl w:val="0"/>
            </w:pPr>
            <w:r>
              <w:t>The objective of this guideline is to provide clinical staff with a standardised pathway for the assessment and management o</w:t>
            </w:r>
            <w:r>
              <w:t xml:space="preserve">f patients with suspected hip fractures.  </w:t>
            </w:r>
          </w:p>
          <w:p w14:paraId="08720DAF" w14:textId="77777777" w:rsidR="003B6051" w:rsidRDefault="003B6051" w:rsidP="003B6051">
            <w:pPr>
              <w:widowControl w:val="0"/>
            </w:pPr>
          </w:p>
        </w:tc>
      </w:tr>
      <w:tr w:rsidR="0079682B" w14:paraId="6A60D049" w14:textId="77777777" w:rsidTr="00562EA9">
        <w:trPr>
          <w:trHeight w:val="1140"/>
          <w:jc w:val="center"/>
        </w:trPr>
        <w:tc>
          <w:tcPr>
            <w:tcW w:w="10121" w:type="dxa"/>
            <w:gridSpan w:val="2"/>
            <w:tcBorders>
              <w:top w:val="single" w:sz="4" w:space="0" w:color="auto"/>
              <w:bottom w:val="single" w:sz="4" w:space="0" w:color="auto"/>
            </w:tcBorders>
          </w:tcPr>
          <w:p w14:paraId="44FF4F7E" w14:textId="77777777" w:rsidR="003B6051" w:rsidRDefault="007708D3" w:rsidP="003B6051">
            <w:pPr>
              <w:pStyle w:val="Heading1"/>
            </w:pPr>
            <w:r>
              <w:t>2.  Applicability</w:t>
            </w:r>
          </w:p>
          <w:p w14:paraId="119974AF" w14:textId="77777777" w:rsidR="003B6051" w:rsidRDefault="007708D3" w:rsidP="003B6051">
            <w:pPr>
              <w:widowControl w:val="0"/>
            </w:pPr>
            <w:r>
              <w:t xml:space="preserve">This guideline relates to all clinical staff that have direct contact with patients throughout all Western Health facilities, with no exclusions. </w:t>
            </w:r>
          </w:p>
          <w:p w14:paraId="471E243B" w14:textId="77777777" w:rsidR="003B6051" w:rsidRDefault="003B6051" w:rsidP="003B6051">
            <w:pPr>
              <w:widowControl w:val="0"/>
            </w:pPr>
          </w:p>
        </w:tc>
      </w:tr>
      <w:tr w:rsidR="0079682B" w14:paraId="12D03217" w14:textId="77777777" w:rsidTr="00562EA9">
        <w:trPr>
          <w:trHeight w:val="1284"/>
          <w:jc w:val="center"/>
        </w:trPr>
        <w:tc>
          <w:tcPr>
            <w:tcW w:w="10121" w:type="dxa"/>
            <w:gridSpan w:val="2"/>
            <w:tcBorders>
              <w:top w:val="single" w:sz="4" w:space="0" w:color="auto"/>
              <w:bottom w:val="single" w:sz="4" w:space="0" w:color="auto"/>
            </w:tcBorders>
          </w:tcPr>
          <w:p w14:paraId="1F236D18" w14:textId="77777777" w:rsidR="003B6051" w:rsidRDefault="007708D3" w:rsidP="003B6051">
            <w:pPr>
              <w:pStyle w:val="Heading1"/>
            </w:pPr>
            <w:r>
              <w:t>3.  Responsibility</w:t>
            </w:r>
          </w:p>
          <w:p w14:paraId="2D1CECC4" w14:textId="77777777" w:rsidR="003B6051" w:rsidRDefault="007708D3" w:rsidP="003B6051">
            <w:pPr>
              <w:widowControl w:val="0"/>
            </w:pPr>
            <w:r>
              <w:t xml:space="preserve">The Divisional Directors of Peri Operative &amp; Critical Care Services, Emergency </w:t>
            </w:r>
            <w:r>
              <w:t xml:space="preserve">Medicine &amp; Access, and Aged, Cancer and Continuing Care Services have the initial responsibility for introducing and implementing this guideline into the relevant clinicians’ practice and to ensure the associated medical record and forms are finalised and </w:t>
            </w:r>
            <w:r>
              <w:t>circulated.</w:t>
            </w:r>
          </w:p>
          <w:p w14:paraId="49B3D3C6" w14:textId="77777777" w:rsidR="003B6051" w:rsidRDefault="003B6051" w:rsidP="003B6051">
            <w:pPr>
              <w:widowControl w:val="0"/>
            </w:pPr>
          </w:p>
        </w:tc>
      </w:tr>
      <w:tr w:rsidR="0079682B" w14:paraId="0807D9BB" w14:textId="77777777" w:rsidTr="00562EA9">
        <w:trPr>
          <w:trHeight w:val="926"/>
          <w:jc w:val="center"/>
        </w:trPr>
        <w:tc>
          <w:tcPr>
            <w:tcW w:w="10121" w:type="dxa"/>
            <w:gridSpan w:val="2"/>
            <w:tcBorders>
              <w:top w:val="single" w:sz="4" w:space="0" w:color="auto"/>
              <w:bottom w:val="single" w:sz="4" w:space="0" w:color="auto"/>
            </w:tcBorders>
          </w:tcPr>
          <w:p w14:paraId="581E6A0E" w14:textId="77777777" w:rsidR="003B6051" w:rsidRDefault="007708D3" w:rsidP="003B6051">
            <w:pPr>
              <w:pStyle w:val="Heading1"/>
            </w:pPr>
            <w:r>
              <w:t>4.  Authority</w:t>
            </w:r>
          </w:p>
          <w:p w14:paraId="21D782CA" w14:textId="77777777" w:rsidR="003B6051" w:rsidRDefault="007708D3" w:rsidP="003B6051">
            <w:pPr>
              <w:widowControl w:val="0"/>
            </w:pPr>
            <w:r>
              <w:t>Exceptions to the clinical practices described in this guideline can only be authorised by an Executive, Divisional or Clinical Services Director.</w:t>
            </w:r>
          </w:p>
          <w:p w14:paraId="63C141D8" w14:textId="77777777" w:rsidR="003B6051" w:rsidRDefault="003B6051" w:rsidP="003B6051">
            <w:pPr>
              <w:widowControl w:val="0"/>
            </w:pPr>
          </w:p>
        </w:tc>
      </w:tr>
      <w:tr w:rsidR="0079682B" w14:paraId="633DD832" w14:textId="77777777" w:rsidTr="00562EA9">
        <w:trPr>
          <w:trHeight w:val="57"/>
          <w:jc w:val="center"/>
        </w:trPr>
        <w:tc>
          <w:tcPr>
            <w:tcW w:w="10121" w:type="dxa"/>
            <w:gridSpan w:val="2"/>
            <w:tcBorders>
              <w:top w:val="single" w:sz="4" w:space="0" w:color="auto"/>
              <w:bottom w:val="single" w:sz="4" w:space="0" w:color="auto"/>
            </w:tcBorders>
          </w:tcPr>
          <w:p w14:paraId="3038A1BE" w14:textId="77777777" w:rsidR="003B6051" w:rsidRDefault="007708D3" w:rsidP="003B6051">
            <w:pPr>
              <w:pStyle w:val="Heading1"/>
            </w:pPr>
            <w:r>
              <w:t>5.  Associated Documentation</w:t>
            </w:r>
          </w:p>
          <w:p w14:paraId="07A1C274" w14:textId="77777777" w:rsidR="003B6051" w:rsidRDefault="007708D3" w:rsidP="003B6051">
            <w:pPr>
              <w:widowControl w:val="0"/>
            </w:pPr>
            <w:r>
              <w:t xml:space="preserve">In support of this guideline, the </w:t>
            </w:r>
            <w:r>
              <w:t>following Manuals, Guidelines, Instructions, and/or Forms apply:</w:t>
            </w:r>
          </w:p>
          <w:tbl>
            <w:tblPr>
              <w:tblStyle w:val="a0"/>
              <w:tblW w:w="9767" w:type="dxa"/>
              <w:tblLayout w:type="fixed"/>
              <w:tblLook w:val="0000" w:firstRow="0" w:lastRow="0" w:firstColumn="0" w:lastColumn="0" w:noHBand="0" w:noVBand="0"/>
            </w:tblPr>
            <w:tblGrid>
              <w:gridCol w:w="2878"/>
              <w:gridCol w:w="6889"/>
            </w:tblGrid>
            <w:tr w:rsidR="0079682B" w14:paraId="4785DE9F" w14:textId="77777777">
              <w:tc>
                <w:tcPr>
                  <w:tcW w:w="2878" w:type="dxa"/>
                </w:tcPr>
                <w:p w14:paraId="63AD9A1B" w14:textId="77777777" w:rsidR="003B6051" w:rsidRDefault="007708D3" w:rsidP="003B6051">
                  <w:pPr>
                    <w:widowControl w:val="0"/>
                  </w:pPr>
                  <w:r>
                    <w:t>Code</w:t>
                  </w:r>
                </w:p>
              </w:tc>
              <w:tc>
                <w:tcPr>
                  <w:tcW w:w="6889" w:type="dxa"/>
                </w:tcPr>
                <w:p w14:paraId="15FDDFF8" w14:textId="77777777" w:rsidR="003B6051" w:rsidRDefault="007708D3" w:rsidP="003B6051">
                  <w:pPr>
                    <w:widowControl w:val="0"/>
                  </w:pPr>
                  <w:r>
                    <w:t>Name</w:t>
                  </w:r>
                </w:p>
              </w:tc>
            </w:tr>
            <w:tr w:rsidR="0079682B" w14:paraId="6DD28941" w14:textId="77777777">
              <w:tc>
                <w:tcPr>
                  <w:tcW w:w="2878" w:type="dxa"/>
                </w:tcPr>
                <w:p w14:paraId="75BA5612" w14:textId="77777777" w:rsidR="003B6051" w:rsidRDefault="007708D3" w:rsidP="003B6051">
                  <w:pPr>
                    <w:widowControl w:val="0"/>
                  </w:pPr>
                  <w:r>
                    <w:t>OG-GC2</w:t>
                  </w:r>
                </w:p>
              </w:tc>
              <w:tc>
                <w:tcPr>
                  <w:tcW w:w="6889" w:type="dxa"/>
                </w:tcPr>
                <w:p w14:paraId="0884E85A" w14:textId="77777777" w:rsidR="003B6051" w:rsidRDefault="007708D3" w:rsidP="003B6051">
                  <w:pPr>
                    <w:widowControl w:val="0"/>
                  </w:pPr>
                  <w:r>
                    <w:t>Delirium Guidelines</w:t>
                  </w:r>
                </w:p>
              </w:tc>
            </w:tr>
            <w:tr w:rsidR="0079682B" w14:paraId="756D226E" w14:textId="77777777">
              <w:tc>
                <w:tcPr>
                  <w:tcW w:w="2878" w:type="dxa"/>
                </w:tcPr>
                <w:p w14:paraId="40E8642C" w14:textId="77777777" w:rsidR="003B6051" w:rsidRDefault="007708D3" w:rsidP="003B6051">
                  <w:pPr>
                    <w:widowControl w:val="0"/>
                  </w:pPr>
                  <w:r>
                    <w:t>OP-CC4</w:t>
                  </w:r>
                </w:p>
              </w:tc>
              <w:tc>
                <w:tcPr>
                  <w:tcW w:w="6889" w:type="dxa"/>
                </w:tcPr>
                <w:p w14:paraId="2E57B2A5" w14:textId="77777777" w:rsidR="003B6051" w:rsidRDefault="007708D3" w:rsidP="003B6051">
                  <w:pPr>
                    <w:widowControl w:val="0"/>
                  </w:pPr>
                  <w:r>
                    <w:t>Fasting Procedure for All Patients Requiring Anaesthesia</w:t>
                  </w:r>
                </w:p>
              </w:tc>
            </w:tr>
            <w:tr w:rsidR="0079682B" w14:paraId="11A03672" w14:textId="77777777">
              <w:tc>
                <w:tcPr>
                  <w:tcW w:w="2878" w:type="dxa"/>
                </w:tcPr>
                <w:p w14:paraId="76CEC287" w14:textId="77777777" w:rsidR="003B6051" w:rsidRDefault="007708D3" w:rsidP="003B6051">
                  <w:pPr>
                    <w:widowControl w:val="0"/>
                  </w:pPr>
                  <w:r>
                    <w:t>OP-GC4</w:t>
                  </w:r>
                </w:p>
              </w:tc>
              <w:tc>
                <w:tcPr>
                  <w:tcW w:w="6889" w:type="dxa"/>
                </w:tcPr>
                <w:p w14:paraId="7509BCE3" w14:textId="77777777" w:rsidR="003B6051" w:rsidRDefault="007708D3" w:rsidP="003B6051">
                  <w:pPr>
                    <w:widowControl w:val="0"/>
                  </w:pPr>
                  <w:r>
                    <w:t>Resuscitation Planning</w:t>
                  </w:r>
                </w:p>
              </w:tc>
            </w:tr>
            <w:tr w:rsidR="0079682B" w14:paraId="5A3629DC" w14:textId="77777777">
              <w:tc>
                <w:tcPr>
                  <w:tcW w:w="2878" w:type="dxa"/>
                </w:tcPr>
                <w:p w14:paraId="4A556F22" w14:textId="77777777" w:rsidR="003B6051" w:rsidRDefault="007708D3" w:rsidP="003B6051">
                  <w:pPr>
                    <w:widowControl w:val="0"/>
                  </w:pPr>
                  <w:r>
                    <w:t>OP-GC6</w:t>
                  </w:r>
                </w:p>
              </w:tc>
              <w:tc>
                <w:tcPr>
                  <w:tcW w:w="6889" w:type="dxa"/>
                </w:tcPr>
                <w:p w14:paraId="4A953C46" w14:textId="77777777" w:rsidR="003B6051" w:rsidRDefault="007708D3" w:rsidP="003B6051">
                  <w:pPr>
                    <w:widowControl w:val="0"/>
                  </w:pPr>
                  <w:r>
                    <w:t>Adult Venous Thromboembolism Prevention</w:t>
                  </w:r>
                </w:p>
              </w:tc>
            </w:tr>
            <w:tr w:rsidR="0079682B" w14:paraId="54E465DD" w14:textId="77777777">
              <w:tc>
                <w:tcPr>
                  <w:tcW w:w="2878" w:type="dxa"/>
                </w:tcPr>
                <w:p w14:paraId="6AF0D45B" w14:textId="77777777" w:rsidR="003B6051" w:rsidRDefault="007708D3" w:rsidP="003B6051">
                  <w:pPr>
                    <w:widowControl w:val="0"/>
                  </w:pPr>
                  <w:r>
                    <w:t>OP-GC6</w:t>
                  </w:r>
                </w:p>
              </w:tc>
              <w:tc>
                <w:tcPr>
                  <w:tcW w:w="6889" w:type="dxa"/>
                </w:tcPr>
                <w:p w14:paraId="340F956E" w14:textId="77777777" w:rsidR="003B6051" w:rsidRDefault="007708D3" w:rsidP="003B6051">
                  <w:pPr>
                    <w:widowControl w:val="0"/>
                  </w:pPr>
                  <w:r>
                    <w:t>Peri-operative Management of Diabetes in Non-pregnant Adults</w:t>
                  </w:r>
                </w:p>
              </w:tc>
            </w:tr>
            <w:tr w:rsidR="0079682B" w14:paraId="190BE7C8" w14:textId="77777777">
              <w:tc>
                <w:tcPr>
                  <w:tcW w:w="2878" w:type="dxa"/>
                </w:tcPr>
                <w:p w14:paraId="5924C55F" w14:textId="77777777" w:rsidR="003B6051" w:rsidRDefault="007708D3" w:rsidP="003B6051">
                  <w:pPr>
                    <w:widowControl w:val="0"/>
                  </w:pPr>
                  <w:r>
                    <w:t>Emergency Department DP-CC2</w:t>
                  </w:r>
                </w:p>
              </w:tc>
              <w:tc>
                <w:tcPr>
                  <w:tcW w:w="6889" w:type="dxa"/>
                </w:tcPr>
                <w:p w14:paraId="72B4B18A" w14:textId="77777777" w:rsidR="003B6051" w:rsidRDefault="007708D3" w:rsidP="003B6051">
                  <w:pPr>
                    <w:widowControl w:val="0"/>
                  </w:pPr>
                  <w:r>
                    <w:t>Admission Procedure for Adult Patients in Emergency Departments who require Inpatient Admission</w:t>
                  </w:r>
                </w:p>
              </w:tc>
            </w:tr>
            <w:tr w:rsidR="0079682B" w14:paraId="5F65634A" w14:textId="77777777">
              <w:tc>
                <w:tcPr>
                  <w:tcW w:w="2878" w:type="dxa"/>
                </w:tcPr>
                <w:p w14:paraId="78C7A5D1" w14:textId="77777777" w:rsidR="003B6051" w:rsidRDefault="007708D3" w:rsidP="003B6051">
                  <w:pPr>
                    <w:widowControl w:val="0"/>
                  </w:pPr>
                  <w:r>
                    <w:t>Reference Sheets*</w:t>
                  </w:r>
                </w:p>
              </w:tc>
              <w:tc>
                <w:tcPr>
                  <w:tcW w:w="6889" w:type="dxa"/>
                </w:tcPr>
                <w:p w14:paraId="1E312BAE" w14:textId="77777777" w:rsidR="003B6051" w:rsidRDefault="007708D3" w:rsidP="003B6051">
                  <w:pPr>
                    <w:widowControl w:val="0"/>
                  </w:pPr>
                  <w:r>
                    <w:t xml:space="preserve">Fractured Neck of Femur Analgesia Reference </w:t>
                  </w:r>
                  <w:r>
                    <w:t>Sheet</w:t>
                  </w:r>
                </w:p>
              </w:tc>
            </w:tr>
            <w:tr w:rsidR="0079682B" w14:paraId="111FB18D" w14:textId="77777777">
              <w:tc>
                <w:tcPr>
                  <w:tcW w:w="2878" w:type="dxa"/>
                </w:tcPr>
                <w:p w14:paraId="4F9EE6BF" w14:textId="77777777" w:rsidR="003B6051" w:rsidRDefault="003B6051" w:rsidP="003B6051">
                  <w:pPr>
                    <w:widowControl w:val="0"/>
                  </w:pPr>
                </w:p>
              </w:tc>
              <w:tc>
                <w:tcPr>
                  <w:tcW w:w="6889" w:type="dxa"/>
                </w:tcPr>
                <w:p w14:paraId="1E071790" w14:textId="77777777" w:rsidR="003B6051" w:rsidRDefault="007708D3" w:rsidP="003B6051">
                  <w:pPr>
                    <w:widowControl w:val="0"/>
                  </w:pPr>
                  <w:r>
                    <w:t>Neck of Femur Fracture Antiplatelet and Anticoagulation Management Reference Sheet</w:t>
                  </w:r>
                </w:p>
              </w:tc>
            </w:tr>
            <w:tr w:rsidR="0079682B" w14:paraId="1130F17E" w14:textId="77777777">
              <w:tc>
                <w:tcPr>
                  <w:tcW w:w="2878" w:type="dxa"/>
                </w:tcPr>
                <w:p w14:paraId="07EB3795" w14:textId="77777777" w:rsidR="003B6051" w:rsidRDefault="003B6051" w:rsidP="003B6051">
                  <w:pPr>
                    <w:widowControl w:val="0"/>
                  </w:pPr>
                </w:p>
              </w:tc>
              <w:tc>
                <w:tcPr>
                  <w:tcW w:w="6889" w:type="dxa"/>
                </w:tcPr>
                <w:p w14:paraId="65BFFBEF" w14:textId="77777777" w:rsidR="003B6051" w:rsidRDefault="007708D3" w:rsidP="003B6051">
                  <w:pPr>
                    <w:widowControl w:val="0"/>
                  </w:pPr>
                  <w:r>
                    <w:t>#NOF Bladder Management Pathway</w:t>
                  </w:r>
                </w:p>
              </w:tc>
            </w:tr>
            <w:tr w:rsidR="0079682B" w14:paraId="4E17EC66" w14:textId="77777777">
              <w:tc>
                <w:tcPr>
                  <w:tcW w:w="2878" w:type="dxa"/>
                </w:tcPr>
                <w:p w14:paraId="1DAD374E" w14:textId="77777777" w:rsidR="003B6051" w:rsidRDefault="003B6051" w:rsidP="003B6051">
                  <w:pPr>
                    <w:widowControl w:val="0"/>
                  </w:pPr>
                </w:p>
              </w:tc>
              <w:tc>
                <w:tcPr>
                  <w:tcW w:w="6889" w:type="dxa"/>
                </w:tcPr>
                <w:p w14:paraId="192F7E95" w14:textId="77777777" w:rsidR="003B6051" w:rsidRDefault="007708D3" w:rsidP="003B6051">
                  <w:pPr>
                    <w:widowControl w:val="0"/>
                  </w:pPr>
                  <w:r>
                    <w:t>#NOF Peri-operative Management of Diabetes Quick Reference Sheet</w:t>
                  </w:r>
                </w:p>
              </w:tc>
            </w:tr>
            <w:tr w:rsidR="0079682B" w14:paraId="7B8B1AF6" w14:textId="77777777">
              <w:tc>
                <w:tcPr>
                  <w:tcW w:w="2878" w:type="dxa"/>
                </w:tcPr>
                <w:p w14:paraId="06D4EFD5" w14:textId="77777777" w:rsidR="003B6051" w:rsidRDefault="003B6051" w:rsidP="003B6051">
                  <w:pPr>
                    <w:widowControl w:val="0"/>
                  </w:pPr>
                </w:p>
              </w:tc>
              <w:tc>
                <w:tcPr>
                  <w:tcW w:w="6889" w:type="dxa"/>
                </w:tcPr>
                <w:p w14:paraId="32016BA3" w14:textId="77777777" w:rsidR="003B6051" w:rsidRDefault="007708D3" w:rsidP="003B6051">
                  <w:pPr>
                    <w:widowControl w:val="0"/>
                  </w:pPr>
                  <w:r>
                    <w:t>Post-Operative DVT Prophylaxis Reference Sheet</w:t>
                  </w:r>
                </w:p>
              </w:tc>
            </w:tr>
            <w:tr w:rsidR="0079682B" w14:paraId="13114B9C" w14:textId="77777777">
              <w:tc>
                <w:tcPr>
                  <w:tcW w:w="2878" w:type="dxa"/>
                </w:tcPr>
                <w:p w14:paraId="22964BE6" w14:textId="77777777" w:rsidR="003B6051" w:rsidRDefault="003B6051" w:rsidP="003B6051">
                  <w:pPr>
                    <w:widowControl w:val="0"/>
                  </w:pPr>
                </w:p>
              </w:tc>
              <w:tc>
                <w:tcPr>
                  <w:tcW w:w="6889" w:type="dxa"/>
                </w:tcPr>
                <w:p w14:paraId="7AEA8C32" w14:textId="77777777" w:rsidR="003B6051" w:rsidRPr="00864F05" w:rsidRDefault="007708D3" w:rsidP="003B6051">
                  <w:pPr>
                    <w:widowControl w:val="0"/>
                    <w:rPr>
                      <w:sz w:val="16"/>
                      <w:szCs w:val="16"/>
                    </w:rPr>
                  </w:pPr>
                  <w:r w:rsidRPr="00864F05">
                    <w:rPr>
                      <w:sz w:val="16"/>
                      <w:szCs w:val="16"/>
                    </w:rPr>
                    <w:t>*available on the OGS</w:t>
                  </w:r>
                </w:p>
              </w:tc>
            </w:tr>
            <w:tr w:rsidR="0079682B" w14:paraId="7A6A8B45" w14:textId="77777777">
              <w:tc>
                <w:tcPr>
                  <w:tcW w:w="2878" w:type="dxa"/>
                </w:tcPr>
                <w:p w14:paraId="198E5373" w14:textId="77777777" w:rsidR="003B6051" w:rsidRDefault="003B6051" w:rsidP="003B6051">
                  <w:pPr>
                    <w:widowControl w:val="0"/>
                  </w:pPr>
                </w:p>
              </w:tc>
              <w:tc>
                <w:tcPr>
                  <w:tcW w:w="6889" w:type="dxa"/>
                </w:tcPr>
                <w:p w14:paraId="042429F7" w14:textId="77777777" w:rsidR="003B6051" w:rsidRDefault="007708D3" w:rsidP="003B6051">
                  <w:pPr>
                    <w:widowControl w:val="0"/>
                  </w:pPr>
                  <w:r>
                    <w:t>webpage:</w:t>
                  </w:r>
                  <w:hyperlink r:id="rId12" w:history="1">
                    <w:r>
                      <w:rPr>
                        <w:color w:val="0000FF"/>
                        <w:u w:val="single"/>
                      </w:rPr>
                      <w:t>http://inside.wh.org.au/departmentsandservices/subacute_aged_care_services/Pages/Ortho-Geria</w:t>
                    </w:r>
                    <w:r>
                      <w:rPr>
                        <w:color w:val="0000FF"/>
                        <w:u w:val="single"/>
                      </w:rPr>
                      <w:t>tric-Service-(OGS).aspx</w:t>
                    </w:r>
                  </w:hyperlink>
                </w:p>
              </w:tc>
            </w:tr>
          </w:tbl>
          <w:p w14:paraId="646DCC27" w14:textId="77777777" w:rsidR="003B6051" w:rsidRDefault="003B6051" w:rsidP="003B6051">
            <w:pPr>
              <w:widowControl w:val="0"/>
            </w:pPr>
          </w:p>
        </w:tc>
      </w:tr>
      <w:tr w:rsidR="0079682B" w14:paraId="09F04FFD" w14:textId="77777777" w:rsidTr="00562EA9">
        <w:trPr>
          <w:trHeight w:val="57"/>
          <w:jc w:val="center"/>
        </w:trPr>
        <w:tc>
          <w:tcPr>
            <w:tcW w:w="10121" w:type="dxa"/>
            <w:gridSpan w:val="2"/>
            <w:tcBorders>
              <w:top w:val="single" w:sz="4" w:space="0" w:color="auto"/>
              <w:bottom w:val="single" w:sz="4" w:space="0" w:color="auto"/>
            </w:tcBorders>
          </w:tcPr>
          <w:p w14:paraId="569BE2CF" w14:textId="77777777" w:rsidR="003B6051" w:rsidRDefault="007708D3" w:rsidP="003B6051">
            <w:pPr>
              <w:pStyle w:val="Heading1"/>
            </w:pPr>
            <w:r>
              <w:t>6.  Definitions and Abbreviations</w:t>
            </w:r>
          </w:p>
          <w:p w14:paraId="35590793" w14:textId="77777777" w:rsidR="003B6051" w:rsidRPr="00D168E6" w:rsidRDefault="007708D3" w:rsidP="003B6051">
            <w:pPr>
              <w:pStyle w:val="Heading2"/>
              <w:tabs>
                <w:tab w:val="clear" w:pos="680"/>
              </w:tabs>
              <w:rPr>
                <w:rFonts w:cs="Arial"/>
                <w:sz w:val="21"/>
              </w:rPr>
            </w:pPr>
            <w:r w:rsidRPr="00D168E6">
              <w:rPr>
                <w:rFonts w:cs="Arial"/>
                <w:sz w:val="21"/>
              </w:rPr>
              <w:t>6.1  Definitions</w:t>
            </w:r>
          </w:p>
          <w:p w14:paraId="33846D37" w14:textId="77777777" w:rsidR="003B6051" w:rsidRDefault="007708D3" w:rsidP="003B6051">
            <w:pPr>
              <w:widowControl w:val="0"/>
            </w:pPr>
            <w:r>
              <w:t>For purposes of this guideline, unless otherwise stated, the following definitions shall apply:</w:t>
            </w:r>
          </w:p>
          <w:tbl>
            <w:tblPr>
              <w:tblStyle w:val="a1"/>
              <w:tblW w:w="9767" w:type="dxa"/>
              <w:tblLayout w:type="fixed"/>
              <w:tblLook w:val="0000" w:firstRow="0" w:lastRow="0" w:firstColumn="0" w:lastColumn="0" w:noHBand="0" w:noVBand="0"/>
            </w:tblPr>
            <w:tblGrid>
              <w:gridCol w:w="3204"/>
              <w:gridCol w:w="6563"/>
            </w:tblGrid>
            <w:tr w:rsidR="0079682B" w14:paraId="164DDB9A" w14:textId="77777777" w:rsidTr="00A623EF">
              <w:tc>
                <w:tcPr>
                  <w:tcW w:w="3204" w:type="dxa"/>
                </w:tcPr>
                <w:p w14:paraId="7A5EB683" w14:textId="77777777" w:rsidR="003B6051" w:rsidRDefault="007708D3" w:rsidP="003B6051">
                  <w:pPr>
                    <w:widowControl w:val="0"/>
                  </w:pPr>
                  <w:r>
                    <w:t>Hip Fracture</w:t>
                  </w:r>
                </w:p>
              </w:tc>
              <w:tc>
                <w:tcPr>
                  <w:tcW w:w="6563" w:type="dxa"/>
                </w:tcPr>
                <w:p w14:paraId="1E8CB022" w14:textId="77777777" w:rsidR="003B6051" w:rsidRDefault="007708D3" w:rsidP="003B6051">
                  <w:pPr>
                    <w:widowControl w:val="0"/>
                  </w:pPr>
                  <w:sdt>
                    <w:sdtPr>
                      <w:tag w:val="goog_rdk_1"/>
                      <w:id w:val="1178548180"/>
                    </w:sdtPr>
                    <w:sdtEndPr/>
                    <w:sdtContent/>
                  </w:sdt>
                  <w:r>
                    <w:t xml:space="preserve">Fracture of the proximal femur, a periprosthetic fracture of the </w:t>
                  </w:r>
                  <w:r>
                    <w:t>femur or a fracture of the distal femur associated with a low trauma mechanism</w:t>
                  </w:r>
                </w:p>
              </w:tc>
            </w:tr>
            <w:tr w:rsidR="0079682B" w14:paraId="36905CB7" w14:textId="77777777" w:rsidTr="00A623EF">
              <w:tc>
                <w:tcPr>
                  <w:tcW w:w="3204" w:type="dxa"/>
                </w:tcPr>
                <w:p w14:paraId="43EE4EDA" w14:textId="77777777" w:rsidR="003B6051" w:rsidRDefault="007708D3" w:rsidP="003B6051">
                  <w:pPr>
                    <w:widowControl w:val="0"/>
                  </w:pPr>
                  <w:r>
                    <w:t>Resuscitation Plan</w:t>
                  </w:r>
                </w:p>
              </w:tc>
              <w:tc>
                <w:tcPr>
                  <w:tcW w:w="6563" w:type="dxa"/>
                </w:tcPr>
                <w:p w14:paraId="2853EBF8" w14:textId="77777777" w:rsidR="003B6051" w:rsidRDefault="007708D3" w:rsidP="003B6051">
                  <w:pPr>
                    <w:widowControl w:val="0"/>
                  </w:pPr>
                  <w:sdt>
                    <w:sdtPr>
                      <w:tag w:val="goog_rdk_2"/>
                      <w:id w:val="839818534"/>
                    </w:sdtPr>
                    <w:sdtEndPr/>
                    <w:sdtContent/>
                  </w:sdt>
                  <w:r>
                    <w:t>A set of medical orders detailing which resuscitation therapies are to be used, or withheld, in the case of medical deterioration of the patient.</w:t>
                  </w:r>
                </w:p>
              </w:tc>
            </w:tr>
          </w:tbl>
          <w:p w14:paraId="5B41A73B" w14:textId="77777777" w:rsidR="003B6051" w:rsidRPr="00D168E6" w:rsidRDefault="007708D3" w:rsidP="003B6051">
            <w:pPr>
              <w:pStyle w:val="Heading2"/>
              <w:tabs>
                <w:tab w:val="clear" w:pos="680"/>
              </w:tabs>
              <w:rPr>
                <w:rFonts w:cs="Arial"/>
                <w:sz w:val="21"/>
              </w:rPr>
            </w:pPr>
            <w:r w:rsidRPr="00D168E6">
              <w:rPr>
                <w:rFonts w:cs="Arial"/>
                <w:sz w:val="21"/>
              </w:rPr>
              <w:t xml:space="preserve">6.2  </w:t>
            </w:r>
            <w:r w:rsidRPr="00D168E6">
              <w:rPr>
                <w:rFonts w:cs="Arial"/>
                <w:sz w:val="21"/>
              </w:rPr>
              <w:t>Abbreviations</w:t>
            </w:r>
          </w:p>
          <w:p w14:paraId="00B9589B" w14:textId="77777777" w:rsidR="003B6051" w:rsidRDefault="007708D3" w:rsidP="003B6051">
            <w:pPr>
              <w:keepLines/>
              <w:widowControl w:val="0"/>
            </w:pPr>
            <w:r>
              <w:t>For purposes of this guideline, unless otherwise stated, the following abbreviations shall apply:</w:t>
            </w:r>
          </w:p>
          <w:tbl>
            <w:tblPr>
              <w:tblStyle w:val="a2"/>
              <w:tblW w:w="9767" w:type="dxa"/>
              <w:tblLayout w:type="fixed"/>
              <w:tblLook w:val="0000" w:firstRow="0" w:lastRow="0" w:firstColumn="0" w:lastColumn="0" w:noHBand="0" w:noVBand="0"/>
            </w:tblPr>
            <w:tblGrid>
              <w:gridCol w:w="1319"/>
              <w:gridCol w:w="8448"/>
            </w:tblGrid>
            <w:tr w:rsidR="0079682B" w14:paraId="5DF96A7F" w14:textId="77777777" w:rsidTr="00A623EF">
              <w:tc>
                <w:tcPr>
                  <w:tcW w:w="1319" w:type="dxa"/>
                </w:tcPr>
                <w:p w14:paraId="6188E170" w14:textId="77777777" w:rsidR="003B6051" w:rsidRDefault="007708D3" w:rsidP="003B6051">
                  <w:pPr>
                    <w:widowControl w:val="0"/>
                  </w:pPr>
                  <w:r>
                    <w:t>CT</w:t>
                  </w:r>
                </w:p>
              </w:tc>
              <w:tc>
                <w:tcPr>
                  <w:tcW w:w="8448" w:type="dxa"/>
                </w:tcPr>
                <w:p w14:paraId="5B3D6931" w14:textId="77777777" w:rsidR="003B6051" w:rsidRDefault="007708D3" w:rsidP="003B6051">
                  <w:pPr>
                    <w:widowControl w:val="0"/>
                  </w:pPr>
                  <w:r>
                    <w:t>Computed Tomography</w:t>
                  </w:r>
                </w:p>
              </w:tc>
            </w:tr>
            <w:tr w:rsidR="0079682B" w14:paraId="7AE71288" w14:textId="77777777" w:rsidTr="00A623EF">
              <w:tc>
                <w:tcPr>
                  <w:tcW w:w="1319" w:type="dxa"/>
                </w:tcPr>
                <w:p w14:paraId="447760FB" w14:textId="77777777" w:rsidR="003B6051" w:rsidRDefault="007708D3" w:rsidP="003B6051">
                  <w:pPr>
                    <w:widowControl w:val="0"/>
                  </w:pPr>
                  <w:r>
                    <w:t>CXR</w:t>
                  </w:r>
                </w:p>
              </w:tc>
              <w:tc>
                <w:tcPr>
                  <w:tcW w:w="8448" w:type="dxa"/>
                </w:tcPr>
                <w:p w14:paraId="32D044AB" w14:textId="77777777" w:rsidR="003B6051" w:rsidRDefault="007708D3" w:rsidP="003B6051">
                  <w:pPr>
                    <w:widowControl w:val="0"/>
                  </w:pPr>
                  <w:r>
                    <w:t>Chest X-ray</w:t>
                  </w:r>
                </w:p>
              </w:tc>
            </w:tr>
            <w:tr w:rsidR="0079682B" w14:paraId="0B40A732" w14:textId="77777777" w:rsidTr="00A623EF">
              <w:tc>
                <w:tcPr>
                  <w:tcW w:w="1319" w:type="dxa"/>
                </w:tcPr>
                <w:p w14:paraId="0DBEF760" w14:textId="77777777" w:rsidR="003B6051" w:rsidRDefault="007708D3" w:rsidP="003B6051">
                  <w:pPr>
                    <w:widowControl w:val="0"/>
                  </w:pPr>
                  <w:r>
                    <w:t>ECG</w:t>
                  </w:r>
                </w:p>
              </w:tc>
              <w:tc>
                <w:tcPr>
                  <w:tcW w:w="8448" w:type="dxa"/>
                </w:tcPr>
                <w:p w14:paraId="7224DD09" w14:textId="77777777" w:rsidR="003B6051" w:rsidRDefault="007708D3" w:rsidP="003B6051">
                  <w:pPr>
                    <w:widowControl w:val="0"/>
                  </w:pPr>
                  <w:r>
                    <w:t>Electrocardiogram</w:t>
                  </w:r>
                </w:p>
              </w:tc>
            </w:tr>
            <w:tr w:rsidR="0079682B" w14:paraId="4F6E8085" w14:textId="77777777" w:rsidTr="00A623EF">
              <w:tc>
                <w:tcPr>
                  <w:tcW w:w="1319" w:type="dxa"/>
                </w:tcPr>
                <w:p w14:paraId="4A5AE5A2" w14:textId="77777777" w:rsidR="003B6051" w:rsidRDefault="007708D3" w:rsidP="003B6051">
                  <w:pPr>
                    <w:widowControl w:val="0"/>
                  </w:pPr>
                  <w:r>
                    <w:t>FBE</w:t>
                  </w:r>
                </w:p>
              </w:tc>
              <w:tc>
                <w:tcPr>
                  <w:tcW w:w="8448" w:type="dxa"/>
                </w:tcPr>
                <w:p w14:paraId="1C2841BC" w14:textId="77777777" w:rsidR="003B6051" w:rsidRDefault="007708D3" w:rsidP="003B6051">
                  <w:pPr>
                    <w:widowControl w:val="0"/>
                  </w:pPr>
                  <w:r>
                    <w:t>Full Blood Examination</w:t>
                  </w:r>
                </w:p>
              </w:tc>
            </w:tr>
            <w:tr w:rsidR="0079682B" w14:paraId="78EA059A" w14:textId="77777777" w:rsidTr="00A623EF">
              <w:tc>
                <w:tcPr>
                  <w:tcW w:w="1319" w:type="dxa"/>
                </w:tcPr>
                <w:p w14:paraId="5D454322" w14:textId="77777777" w:rsidR="003B6051" w:rsidRDefault="007708D3" w:rsidP="003B6051">
                  <w:pPr>
                    <w:widowControl w:val="0"/>
                  </w:pPr>
                  <w:r>
                    <w:t>MRI</w:t>
                  </w:r>
                </w:p>
              </w:tc>
              <w:tc>
                <w:tcPr>
                  <w:tcW w:w="8448" w:type="dxa"/>
                </w:tcPr>
                <w:p w14:paraId="452D60DE" w14:textId="77777777" w:rsidR="003B6051" w:rsidRDefault="007708D3" w:rsidP="003B6051">
                  <w:pPr>
                    <w:widowControl w:val="0"/>
                  </w:pPr>
                  <w:r>
                    <w:t>Magnetic Resonance Imaging</w:t>
                  </w:r>
                </w:p>
              </w:tc>
            </w:tr>
            <w:tr w:rsidR="0079682B" w14:paraId="57EC7F2D" w14:textId="77777777" w:rsidTr="00A623EF">
              <w:tc>
                <w:tcPr>
                  <w:tcW w:w="1319" w:type="dxa"/>
                </w:tcPr>
                <w:p w14:paraId="44E5E6CC" w14:textId="77777777" w:rsidR="003B6051" w:rsidRDefault="007708D3" w:rsidP="003B6051">
                  <w:pPr>
                    <w:widowControl w:val="0"/>
                  </w:pPr>
                  <w:r>
                    <w:t>MSU</w:t>
                  </w:r>
                </w:p>
              </w:tc>
              <w:tc>
                <w:tcPr>
                  <w:tcW w:w="8448" w:type="dxa"/>
                </w:tcPr>
                <w:p w14:paraId="42D3F1B5" w14:textId="77777777" w:rsidR="003B6051" w:rsidRDefault="007708D3" w:rsidP="003B6051">
                  <w:pPr>
                    <w:widowControl w:val="0"/>
                  </w:pPr>
                  <w:r>
                    <w:t>Mid-stream Urine</w:t>
                  </w:r>
                </w:p>
              </w:tc>
            </w:tr>
            <w:tr w:rsidR="0079682B" w14:paraId="1FB7987F" w14:textId="77777777" w:rsidTr="006F7001">
              <w:tc>
                <w:tcPr>
                  <w:tcW w:w="1319" w:type="dxa"/>
                </w:tcPr>
                <w:p w14:paraId="26D7B3B2" w14:textId="77777777" w:rsidR="003B6051" w:rsidRDefault="007708D3" w:rsidP="003B6051">
                  <w:pPr>
                    <w:widowControl w:val="0"/>
                  </w:pPr>
                  <w:r>
                    <w:t>UEC</w:t>
                  </w:r>
                </w:p>
              </w:tc>
              <w:tc>
                <w:tcPr>
                  <w:tcW w:w="8448" w:type="dxa"/>
                </w:tcPr>
                <w:p w14:paraId="3C157F0B" w14:textId="77777777" w:rsidR="003B6051" w:rsidRDefault="007708D3" w:rsidP="003B6051">
                  <w:pPr>
                    <w:widowControl w:val="0"/>
                  </w:pPr>
                  <w:r>
                    <w:t>Serum Urea, Electrolytes and Creatinine</w:t>
                  </w:r>
                </w:p>
              </w:tc>
            </w:tr>
          </w:tbl>
          <w:p w14:paraId="61620F42" w14:textId="77777777" w:rsidR="003B6051" w:rsidRPr="00864F05" w:rsidRDefault="003B6051" w:rsidP="003B6051">
            <w:pPr>
              <w:pStyle w:val="Heading1"/>
              <w:rPr>
                <w:b w:val="0"/>
                <w:sz w:val="18"/>
                <w:szCs w:val="18"/>
              </w:rPr>
            </w:pPr>
          </w:p>
        </w:tc>
      </w:tr>
      <w:tr w:rsidR="0079682B" w14:paraId="0743C86E" w14:textId="77777777" w:rsidTr="00D168E6">
        <w:trPr>
          <w:trHeight w:val="1708"/>
          <w:jc w:val="center"/>
        </w:trPr>
        <w:tc>
          <w:tcPr>
            <w:tcW w:w="10121" w:type="dxa"/>
            <w:gridSpan w:val="2"/>
          </w:tcPr>
          <w:p w14:paraId="63395DCC" w14:textId="77777777" w:rsidR="003B6051" w:rsidRDefault="007708D3" w:rsidP="003B6051">
            <w:pPr>
              <w:pStyle w:val="Heading1"/>
            </w:pPr>
            <w:r>
              <w:t>7.  Guideline Detail</w:t>
            </w:r>
          </w:p>
          <w:p w14:paraId="2AD0407D" w14:textId="77777777" w:rsidR="003B6051" w:rsidRDefault="007708D3" w:rsidP="003B6051">
            <w:pPr>
              <w:widowControl w:val="0"/>
            </w:pPr>
            <w:r>
              <w:t>This guideline applies to patients presenting to hospital with a suspected hip fracture, or sustaining a suspected hip fracture in hospital.</w:t>
            </w:r>
          </w:p>
          <w:p w14:paraId="1246CC09" w14:textId="77777777" w:rsidR="003B6051" w:rsidRDefault="003B6051" w:rsidP="003B6051">
            <w:pPr>
              <w:widowControl w:val="0"/>
            </w:pPr>
          </w:p>
          <w:p w14:paraId="410E39D4" w14:textId="77777777" w:rsidR="003B6051" w:rsidRPr="00864F05" w:rsidRDefault="007708D3" w:rsidP="003B6051">
            <w:pPr>
              <w:pStyle w:val="Heading2"/>
              <w:tabs>
                <w:tab w:val="clear" w:pos="680"/>
              </w:tabs>
              <w:rPr>
                <w:rFonts w:cs="Arial"/>
                <w:sz w:val="21"/>
              </w:rPr>
            </w:pPr>
            <w:r>
              <w:rPr>
                <w:rFonts w:cs="Arial"/>
                <w:sz w:val="21"/>
              </w:rPr>
              <w:t xml:space="preserve">7.1  </w:t>
            </w:r>
            <w:r w:rsidRPr="00864F05">
              <w:rPr>
                <w:rFonts w:cs="Arial"/>
                <w:sz w:val="21"/>
              </w:rPr>
              <w:t xml:space="preserve">Pre-diagnosis </w:t>
            </w:r>
            <w:r w:rsidRPr="00864F05">
              <w:rPr>
                <w:rFonts w:cs="Arial"/>
                <w:sz w:val="21"/>
              </w:rPr>
              <w:t>Management</w:t>
            </w:r>
          </w:p>
          <w:p w14:paraId="59CD5B92" w14:textId="77777777" w:rsidR="003B6051" w:rsidRPr="00557AEB" w:rsidRDefault="007708D3" w:rsidP="003B6051">
            <w:pPr>
              <w:pStyle w:val="Heading3"/>
              <w:rPr>
                <w:sz w:val="19"/>
              </w:rPr>
            </w:pPr>
            <w:r w:rsidRPr="00557AEB">
              <w:rPr>
                <w:sz w:val="19"/>
              </w:rPr>
              <w:t>7.1.1  Pain Assessment and Management</w:t>
            </w:r>
          </w:p>
          <w:p w14:paraId="363EDCE9" w14:textId="77777777" w:rsidR="003B6051" w:rsidRDefault="007708D3" w:rsidP="003B6051">
            <w:pPr>
              <w:widowControl w:val="0"/>
              <w:numPr>
                <w:ilvl w:val="0"/>
                <w:numId w:val="1"/>
              </w:numPr>
              <w:pBdr>
                <w:top w:val="nil"/>
                <w:left w:val="nil"/>
                <w:bottom w:val="nil"/>
                <w:right w:val="nil"/>
                <w:between w:val="nil"/>
              </w:pBdr>
              <w:ind w:left="720"/>
              <w:rPr>
                <w:rFonts w:eastAsia="Arial" w:cs="Arial"/>
                <w:color w:val="000000"/>
                <w:szCs w:val="18"/>
              </w:rPr>
            </w:pPr>
            <w:r>
              <w:rPr>
                <w:rFonts w:eastAsia="Arial" w:cs="Arial"/>
                <w:color w:val="000000"/>
                <w:szCs w:val="18"/>
              </w:rPr>
              <w:t>Patients with a suspected hip fracture should have their pain assessed:</w:t>
            </w:r>
          </w:p>
          <w:p w14:paraId="24ADAD90" w14:textId="77777777" w:rsidR="003B6051" w:rsidRDefault="007708D3" w:rsidP="003B6051">
            <w:pPr>
              <w:widowControl w:val="0"/>
              <w:numPr>
                <w:ilvl w:val="0"/>
                <w:numId w:val="2"/>
              </w:numPr>
              <w:pBdr>
                <w:top w:val="nil"/>
                <w:left w:val="nil"/>
                <w:bottom w:val="nil"/>
                <w:right w:val="nil"/>
                <w:between w:val="nil"/>
              </w:pBdr>
              <w:rPr>
                <w:rFonts w:eastAsia="Arial" w:cs="Arial"/>
                <w:color w:val="000000"/>
                <w:szCs w:val="18"/>
              </w:rPr>
            </w:pPr>
            <w:r>
              <w:rPr>
                <w:rFonts w:eastAsia="Arial" w:cs="Arial"/>
                <w:color w:val="000000"/>
                <w:szCs w:val="18"/>
              </w:rPr>
              <w:t>Immediately;</w:t>
            </w:r>
          </w:p>
          <w:p w14:paraId="35E83BC3" w14:textId="77777777" w:rsidR="003B6051" w:rsidRDefault="007708D3" w:rsidP="003B6051">
            <w:pPr>
              <w:widowControl w:val="0"/>
              <w:numPr>
                <w:ilvl w:val="0"/>
                <w:numId w:val="2"/>
              </w:numPr>
              <w:pBdr>
                <w:top w:val="nil"/>
                <w:left w:val="nil"/>
                <w:bottom w:val="nil"/>
                <w:right w:val="nil"/>
                <w:between w:val="nil"/>
              </w:pBdr>
              <w:rPr>
                <w:rFonts w:eastAsia="Arial" w:cs="Arial"/>
                <w:color w:val="000000"/>
                <w:szCs w:val="18"/>
              </w:rPr>
            </w:pPr>
            <w:r>
              <w:rPr>
                <w:rFonts w:eastAsia="Arial" w:cs="Arial"/>
                <w:color w:val="000000"/>
                <w:szCs w:val="18"/>
              </w:rPr>
              <w:t>Within 30 minutes of administering initial analgesia;</w:t>
            </w:r>
          </w:p>
          <w:p w14:paraId="29498880" w14:textId="77777777" w:rsidR="003B6051" w:rsidRDefault="007708D3" w:rsidP="003B6051">
            <w:pPr>
              <w:widowControl w:val="0"/>
              <w:numPr>
                <w:ilvl w:val="0"/>
                <w:numId w:val="2"/>
              </w:numPr>
              <w:pBdr>
                <w:top w:val="nil"/>
                <w:left w:val="nil"/>
                <w:bottom w:val="nil"/>
                <w:right w:val="nil"/>
                <w:between w:val="nil"/>
              </w:pBdr>
              <w:rPr>
                <w:rFonts w:eastAsia="Arial" w:cs="Arial"/>
                <w:color w:val="000000"/>
                <w:szCs w:val="18"/>
              </w:rPr>
            </w:pPr>
            <w:r>
              <w:rPr>
                <w:rFonts w:eastAsia="Arial" w:cs="Arial"/>
                <w:color w:val="000000"/>
                <w:szCs w:val="18"/>
              </w:rPr>
              <w:t xml:space="preserve">Hourly until settled; </w:t>
            </w:r>
          </w:p>
          <w:p w14:paraId="0506561E" w14:textId="77777777" w:rsidR="003B6051" w:rsidRDefault="007708D3" w:rsidP="003B6051">
            <w:pPr>
              <w:widowControl w:val="0"/>
              <w:numPr>
                <w:ilvl w:val="0"/>
                <w:numId w:val="2"/>
              </w:numPr>
              <w:pBdr>
                <w:top w:val="nil"/>
                <w:left w:val="nil"/>
                <w:bottom w:val="nil"/>
                <w:right w:val="nil"/>
                <w:between w:val="nil"/>
              </w:pBdr>
              <w:rPr>
                <w:rFonts w:eastAsia="Arial" w:cs="Arial"/>
                <w:color w:val="000000"/>
                <w:szCs w:val="18"/>
              </w:rPr>
            </w:pPr>
            <w:r>
              <w:rPr>
                <w:rFonts w:eastAsia="Arial" w:cs="Arial"/>
                <w:color w:val="000000"/>
                <w:szCs w:val="18"/>
              </w:rPr>
              <w:t xml:space="preserve">Then every 2 hours while the patient is </w:t>
            </w:r>
            <w:r>
              <w:rPr>
                <w:rFonts w:eastAsia="Arial" w:cs="Arial"/>
                <w:color w:val="000000"/>
                <w:szCs w:val="18"/>
              </w:rPr>
              <w:t>awake.</w:t>
            </w:r>
          </w:p>
          <w:p w14:paraId="5F22788A" w14:textId="77777777" w:rsidR="003B6051" w:rsidRDefault="007708D3" w:rsidP="003B6051">
            <w:pPr>
              <w:widowControl w:val="0"/>
              <w:numPr>
                <w:ilvl w:val="0"/>
                <w:numId w:val="1"/>
              </w:numPr>
              <w:pBdr>
                <w:top w:val="nil"/>
                <w:left w:val="nil"/>
                <w:bottom w:val="nil"/>
                <w:right w:val="nil"/>
                <w:between w:val="nil"/>
              </w:pBdr>
              <w:ind w:left="720"/>
              <w:rPr>
                <w:rFonts w:eastAsia="Arial" w:cs="Arial"/>
                <w:color w:val="000000"/>
                <w:szCs w:val="18"/>
              </w:rPr>
            </w:pPr>
            <w:r>
              <w:rPr>
                <w:rFonts w:eastAsia="Arial" w:cs="Arial"/>
                <w:color w:val="000000"/>
                <w:szCs w:val="18"/>
              </w:rPr>
              <w:t xml:space="preserve">Analgesia should be offered in accordance with the </w:t>
            </w:r>
            <w:r>
              <w:rPr>
                <w:rFonts w:eastAsia="Arial" w:cs="Arial"/>
                <w:i/>
                <w:color w:val="000000"/>
                <w:szCs w:val="18"/>
              </w:rPr>
              <w:t>Fractured Neck of Femur Analgesia Reference Sheet</w:t>
            </w:r>
            <w:r>
              <w:rPr>
                <w:rFonts w:eastAsia="Arial" w:cs="Arial"/>
                <w:color w:val="000000"/>
                <w:szCs w:val="18"/>
              </w:rPr>
              <w:t>.</w:t>
            </w:r>
          </w:p>
          <w:p w14:paraId="48773673" w14:textId="77777777" w:rsidR="003B6051" w:rsidRDefault="007708D3" w:rsidP="003B6051">
            <w:pPr>
              <w:widowControl w:val="0"/>
              <w:numPr>
                <w:ilvl w:val="0"/>
                <w:numId w:val="1"/>
              </w:numPr>
              <w:pBdr>
                <w:top w:val="nil"/>
                <w:left w:val="nil"/>
                <w:bottom w:val="nil"/>
                <w:right w:val="nil"/>
                <w:between w:val="nil"/>
              </w:pBdr>
              <w:ind w:left="720"/>
              <w:rPr>
                <w:rFonts w:eastAsia="Arial" w:cs="Arial"/>
                <w:color w:val="000000"/>
                <w:szCs w:val="18"/>
              </w:rPr>
            </w:pPr>
            <w:r>
              <w:rPr>
                <w:rFonts w:eastAsia="Arial" w:cs="Arial"/>
                <w:color w:val="000000"/>
                <w:szCs w:val="18"/>
              </w:rPr>
              <w:t>Patients should be made non-weight bearing until such time a hip fracture is ruled out or a decision is made to mobilise the patient following disc</w:t>
            </w:r>
            <w:r>
              <w:rPr>
                <w:rFonts w:eastAsia="Arial" w:cs="Arial"/>
                <w:color w:val="000000"/>
                <w:szCs w:val="18"/>
              </w:rPr>
              <w:t>ussion with the Orthopaedic unit team</w:t>
            </w:r>
          </w:p>
          <w:p w14:paraId="2070BE55" w14:textId="77777777" w:rsidR="003B6051" w:rsidRDefault="003B6051" w:rsidP="003B6051"/>
          <w:p w14:paraId="20429394" w14:textId="77777777" w:rsidR="003B6051" w:rsidRPr="00557AEB" w:rsidRDefault="007708D3" w:rsidP="003B6051">
            <w:pPr>
              <w:pStyle w:val="Heading3"/>
              <w:rPr>
                <w:sz w:val="19"/>
              </w:rPr>
            </w:pPr>
            <w:r w:rsidRPr="00557AEB">
              <w:rPr>
                <w:sz w:val="19"/>
              </w:rPr>
              <w:t>7.1.2  Imaging</w:t>
            </w:r>
          </w:p>
          <w:p w14:paraId="3524604B" w14:textId="77777777" w:rsidR="003B6051" w:rsidRDefault="007708D3" w:rsidP="003B6051">
            <w:pPr>
              <w:widowControl w:val="0"/>
              <w:numPr>
                <w:ilvl w:val="0"/>
                <w:numId w:val="1"/>
              </w:numPr>
              <w:pBdr>
                <w:top w:val="nil"/>
                <w:left w:val="nil"/>
                <w:bottom w:val="nil"/>
                <w:right w:val="nil"/>
                <w:between w:val="nil"/>
              </w:pBdr>
              <w:ind w:left="720"/>
              <w:rPr>
                <w:rFonts w:eastAsia="Arial" w:cs="Arial"/>
                <w:color w:val="000000"/>
                <w:szCs w:val="18"/>
              </w:rPr>
            </w:pPr>
            <w:r>
              <w:rPr>
                <w:rFonts w:eastAsia="Arial" w:cs="Arial"/>
                <w:color w:val="000000"/>
                <w:szCs w:val="18"/>
              </w:rPr>
              <w:t xml:space="preserve">Initial imaging of patients with a suspected hip fracture should include an anteroposterior pelvis and lateral hip x-ray. </w:t>
            </w:r>
          </w:p>
          <w:p w14:paraId="4F8EFAAE" w14:textId="77777777" w:rsidR="003B6051" w:rsidRDefault="007708D3" w:rsidP="003B6051">
            <w:pPr>
              <w:widowControl w:val="0"/>
              <w:numPr>
                <w:ilvl w:val="0"/>
                <w:numId w:val="1"/>
              </w:numPr>
              <w:pBdr>
                <w:top w:val="nil"/>
                <w:left w:val="nil"/>
                <w:bottom w:val="nil"/>
                <w:right w:val="nil"/>
                <w:between w:val="nil"/>
              </w:pBdr>
              <w:ind w:left="720"/>
              <w:rPr>
                <w:rFonts w:eastAsia="Arial" w:cs="Arial"/>
                <w:color w:val="000000"/>
                <w:szCs w:val="18"/>
              </w:rPr>
            </w:pPr>
            <w:r>
              <w:rPr>
                <w:rFonts w:eastAsia="Arial" w:cs="Arial"/>
                <w:color w:val="000000"/>
                <w:szCs w:val="18"/>
              </w:rPr>
              <w:t>If there is continuing suspicion of a hip fracture despite negative findings on</w:t>
            </w:r>
            <w:r>
              <w:rPr>
                <w:rFonts w:eastAsia="Arial" w:cs="Arial"/>
                <w:color w:val="000000"/>
                <w:szCs w:val="18"/>
              </w:rPr>
              <w:t xml:space="preserve"> plain x-ray imaging:</w:t>
            </w:r>
          </w:p>
          <w:p w14:paraId="3B33D275" w14:textId="77777777" w:rsidR="003B6051" w:rsidRDefault="007708D3" w:rsidP="003B6051">
            <w:pPr>
              <w:widowControl w:val="0"/>
              <w:numPr>
                <w:ilvl w:val="0"/>
                <w:numId w:val="7"/>
              </w:numPr>
              <w:pBdr>
                <w:top w:val="nil"/>
                <w:left w:val="nil"/>
                <w:bottom w:val="nil"/>
                <w:right w:val="nil"/>
                <w:between w:val="nil"/>
              </w:pBdr>
              <w:rPr>
                <w:rFonts w:eastAsia="Arial" w:cs="Arial"/>
                <w:color w:val="000000"/>
                <w:szCs w:val="18"/>
              </w:rPr>
            </w:pPr>
            <w:r>
              <w:rPr>
                <w:rFonts w:eastAsia="Arial" w:cs="Arial"/>
                <w:color w:val="000000"/>
                <w:szCs w:val="18"/>
              </w:rPr>
              <w:t>MRI should be offered (unless contraindicated);</w:t>
            </w:r>
          </w:p>
          <w:p w14:paraId="4E1DA5E6" w14:textId="77777777" w:rsidR="003B6051" w:rsidRDefault="007708D3" w:rsidP="003B6051">
            <w:pPr>
              <w:widowControl w:val="0"/>
              <w:numPr>
                <w:ilvl w:val="0"/>
                <w:numId w:val="7"/>
              </w:numPr>
              <w:pBdr>
                <w:top w:val="nil"/>
                <w:left w:val="nil"/>
                <w:bottom w:val="nil"/>
                <w:right w:val="nil"/>
                <w:between w:val="nil"/>
              </w:pBdr>
              <w:rPr>
                <w:rFonts w:eastAsia="Arial" w:cs="Arial"/>
                <w:color w:val="000000"/>
                <w:szCs w:val="18"/>
              </w:rPr>
            </w:pPr>
            <w:r w:rsidRPr="00D168E6">
              <w:rPr>
                <w:rFonts w:eastAsia="Arial" w:cs="Arial"/>
                <w:color w:val="000000"/>
                <w:szCs w:val="18"/>
              </w:rPr>
              <w:t>However, if an MRI is not available within 24 hours, or contraindicated, then a CT should be considered</w:t>
            </w:r>
            <w:r>
              <w:rPr>
                <w:rFonts w:eastAsia="Arial" w:cs="Arial"/>
                <w:color w:val="000000"/>
                <w:szCs w:val="18"/>
              </w:rPr>
              <w:t>.</w:t>
            </w:r>
          </w:p>
          <w:p w14:paraId="627248C3" w14:textId="77777777" w:rsidR="003B6051" w:rsidRDefault="003B6051" w:rsidP="003B6051">
            <w:pPr>
              <w:widowControl w:val="0"/>
              <w:pBdr>
                <w:top w:val="nil"/>
                <w:left w:val="nil"/>
                <w:bottom w:val="nil"/>
                <w:right w:val="nil"/>
                <w:between w:val="nil"/>
              </w:pBdr>
              <w:rPr>
                <w:rFonts w:eastAsia="Arial" w:cs="Arial"/>
                <w:color w:val="000000"/>
                <w:szCs w:val="18"/>
              </w:rPr>
            </w:pPr>
          </w:p>
          <w:p w14:paraId="555E435F" w14:textId="77777777" w:rsidR="003B6051" w:rsidRPr="00D168E6" w:rsidRDefault="007708D3" w:rsidP="003B6051">
            <w:pPr>
              <w:pStyle w:val="Heading2"/>
              <w:tabs>
                <w:tab w:val="clear" w:pos="680"/>
              </w:tabs>
              <w:rPr>
                <w:rFonts w:cs="Arial"/>
                <w:sz w:val="21"/>
              </w:rPr>
            </w:pPr>
            <w:r w:rsidRPr="00D168E6">
              <w:rPr>
                <w:rFonts w:cs="Arial"/>
                <w:sz w:val="21"/>
              </w:rPr>
              <w:t>7.2  Pre-operative Management</w:t>
            </w:r>
          </w:p>
          <w:p w14:paraId="1C4B67E2" w14:textId="77777777" w:rsidR="003B6051" w:rsidRPr="00D168E6" w:rsidRDefault="007708D3" w:rsidP="003B6051">
            <w:pPr>
              <w:pStyle w:val="Heading3"/>
              <w:rPr>
                <w:sz w:val="19"/>
              </w:rPr>
            </w:pPr>
            <w:r w:rsidRPr="00D168E6">
              <w:rPr>
                <w:sz w:val="19"/>
              </w:rPr>
              <w:t>7.2.1  Pain</w:t>
            </w:r>
            <w:r w:rsidRPr="00D168E6">
              <w:rPr>
                <w:sz w:val="19"/>
              </w:rPr>
              <w:t xml:space="preserve"> Assessment and Management</w:t>
            </w:r>
          </w:p>
          <w:p w14:paraId="13DD10D0" w14:textId="77777777" w:rsidR="003B6051" w:rsidRDefault="007708D3" w:rsidP="003B6051">
            <w:pPr>
              <w:widowControl w:val="0"/>
              <w:numPr>
                <w:ilvl w:val="0"/>
                <w:numId w:val="1"/>
              </w:numPr>
              <w:pBdr>
                <w:top w:val="nil"/>
                <w:left w:val="nil"/>
                <w:bottom w:val="nil"/>
                <w:right w:val="nil"/>
                <w:between w:val="nil"/>
              </w:pBdr>
              <w:ind w:left="720"/>
              <w:rPr>
                <w:rFonts w:eastAsia="Arial" w:cs="Arial"/>
                <w:color w:val="000000"/>
                <w:szCs w:val="18"/>
              </w:rPr>
            </w:pPr>
            <w:r>
              <w:rPr>
                <w:rFonts w:eastAsia="Arial" w:cs="Arial"/>
                <w:color w:val="000000"/>
                <w:szCs w:val="18"/>
              </w:rPr>
              <w:t xml:space="preserve">Pain should continue to be assessed and managed as per </w:t>
            </w:r>
            <w:r>
              <w:rPr>
                <w:rFonts w:eastAsia="Arial" w:cs="Arial"/>
                <w:i/>
                <w:color w:val="000000"/>
                <w:szCs w:val="18"/>
              </w:rPr>
              <w:t>Section 7.1.1</w:t>
            </w:r>
            <w:r>
              <w:rPr>
                <w:rFonts w:eastAsia="Arial" w:cs="Arial"/>
                <w:color w:val="000000"/>
                <w:szCs w:val="18"/>
              </w:rPr>
              <w:t xml:space="preserve">.  </w:t>
            </w:r>
          </w:p>
          <w:p w14:paraId="22DAA886" w14:textId="77777777" w:rsidR="003B6051" w:rsidRDefault="007708D3" w:rsidP="003B6051">
            <w:pPr>
              <w:widowControl w:val="0"/>
              <w:numPr>
                <w:ilvl w:val="0"/>
                <w:numId w:val="1"/>
              </w:numPr>
              <w:pBdr>
                <w:top w:val="nil"/>
                <w:left w:val="nil"/>
                <w:bottom w:val="nil"/>
                <w:right w:val="nil"/>
                <w:between w:val="nil"/>
              </w:pBdr>
              <w:ind w:left="720"/>
              <w:rPr>
                <w:rFonts w:eastAsia="Arial" w:cs="Arial"/>
                <w:color w:val="000000"/>
                <w:szCs w:val="18"/>
              </w:rPr>
            </w:pPr>
            <w:r>
              <w:rPr>
                <w:rFonts w:eastAsia="Arial" w:cs="Arial"/>
                <w:color w:val="000000"/>
                <w:szCs w:val="18"/>
              </w:rPr>
              <w:t>In addition, once diagnosed with a hip fracture, patients should be offered a fascia iliaca nerve block, undertaken by trained personnel regardless of the patient’s pain profile.</w:t>
            </w:r>
          </w:p>
          <w:p w14:paraId="397FCF8F" w14:textId="77777777" w:rsidR="003B6051" w:rsidRDefault="003B6051" w:rsidP="003B6051"/>
          <w:p w14:paraId="774A613C" w14:textId="77777777" w:rsidR="003B6051" w:rsidRDefault="007708D3" w:rsidP="003B6051">
            <w:pPr>
              <w:widowControl w:val="0"/>
              <w:pBdr>
                <w:top w:val="single" w:sz="12" w:space="1" w:color="000000"/>
                <w:left w:val="single" w:sz="12" w:space="4" w:color="000000"/>
                <w:bottom w:val="single" w:sz="12" w:space="1" w:color="000000"/>
                <w:right w:val="single" w:sz="12" w:space="4" w:color="000000"/>
                <w:between w:val="nil"/>
              </w:pBdr>
              <w:shd w:val="clear" w:color="auto" w:fill="FBD5B5"/>
              <w:ind w:left="2340" w:right="596" w:hanging="1620"/>
              <w:rPr>
                <w:rFonts w:eastAsia="Arial" w:cs="Arial"/>
                <w:color w:val="000000"/>
                <w:szCs w:val="18"/>
              </w:rPr>
            </w:pPr>
            <w:r>
              <w:rPr>
                <w:rFonts w:eastAsia="Arial" w:cs="Arial"/>
                <w:b/>
                <w:color w:val="000000"/>
                <w:szCs w:val="18"/>
              </w:rPr>
              <w:t>Quality indicator:</w:t>
            </w:r>
            <w:r>
              <w:rPr>
                <w:rFonts w:eastAsia="Arial" w:cs="Arial"/>
                <w:color w:val="000000"/>
                <w:szCs w:val="18"/>
              </w:rPr>
              <w:t xml:space="preserve">  At least 95 per cent of patients receive a nerve block p</w:t>
            </w:r>
            <w:r>
              <w:rPr>
                <w:rFonts w:eastAsia="Arial" w:cs="Arial"/>
                <w:color w:val="000000"/>
                <w:szCs w:val="18"/>
              </w:rPr>
              <w:t>rior to surgery.</w:t>
            </w:r>
            <w:r>
              <w:t xml:space="preserve"> </w:t>
            </w:r>
            <w:r>
              <w:rPr>
                <w:rFonts w:eastAsia="Arial" w:cs="Arial"/>
                <w:color w:val="000000"/>
                <w:szCs w:val="18"/>
              </w:rPr>
              <w:t>For patient</w:t>
            </w:r>
            <w:r>
              <w:t xml:space="preserve">s </w:t>
            </w:r>
            <w:r>
              <w:rPr>
                <w:rFonts w:eastAsia="Arial" w:cs="Arial"/>
                <w:color w:val="000000"/>
                <w:szCs w:val="18"/>
              </w:rPr>
              <w:t>presenting to hospital with a suspected hip fracture,</w:t>
            </w:r>
            <w:r>
              <w:rPr>
                <w:rFonts w:eastAsia="Arial" w:cs="Arial"/>
                <w:b/>
                <w:color w:val="000000"/>
                <w:szCs w:val="18"/>
              </w:rPr>
              <w:t xml:space="preserve"> </w:t>
            </w:r>
            <w:r>
              <w:rPr>
                <w:rFonts w:eastAsia="Arial" w:cs="Arial"/>
                <w:color w:val="000000"/>
                <w:szCs w:val="18"/>
              </w:rPr>
              <w:t>at least 70 per cent of patients receive a nerve block within 3 hours of arrival at the Emergency Department.</w:t>
            </w:r>
          </w:p>
          <w:p w14:paraId="7B813527" w14:textId="77777777" w:rsidR="003B6051" w:rsidRDefault="003B6051" w:rsidP="003B6051">
            <w:pPr>
              <w:widowControl w:val="0"/>
              <w:pBdr>
                <w:top w:val="nil"/>
                <w:left w:val="nil"/>
                <w:bottom w:val="nil"/>
                <w:right w:val="nil"/>
                <w:between w:val="nil"/>
              </w:pBdr>
              <w:tabs>
                <w:tab w:val="left" w:pos="680"/>
              </w:tabs>
              <w:ind w:left="680" w:hanging="680"/>
              <w:rPr>
                <w:rFonts w:eastAsia="Arial" w:cs="Arial"/>
                <w:color w:val="000000"/>
                <w:szCs w:val="18"/>
              </w:rPr>
            </w:pPr>
          </w:p>
          <w:p w14:paraId="26E10AD6" w14:textId="77777777" w:rsidR="003B6051" w:rsidRPr="00D168E6" w:rsidRDefault="007708D3" w:rsidP="003B6051">
            <w:pPr>
              <w:pStyle w:val="Heading3"/>
              <w:rPr>
                <w:sz w:val="19"/>
              </w:rPr>
            </w:pPr>
            <w:r w:rsidRPr="00D168E6">
              <w:rPr>
                <w:sz w:val="19"/>
              </w:rPr>
              <w:t>7.2.2  Admission</w:t>
            </w:r>
            <w:r w:rsidRPr="00D168E6">
              <w:rPr>
                <w:sz w:val="19"/>
              </w:rPr>
              <w:t xml:space="preserve"> to the Orthogeriatric Service</w:t>
            </w:r>
          </w:p>
          <w:p w14:paraId="22697C5A" w14:textId="77777777" w:rsidR="003B6051" w:rsidRDefault="007708D3" w:rsidP="003B6051">
            <w:pPr>
              <w:widowControl w:val="0"/>
              <w:numPr>
                <w:ilvl w:val="0"/>
                <w:numId w:val="1"/>
              </w:numPr>
              <w:pBdr>
                <w:top w:val="nil"/>
                <w:left w:val="nil"/>
                <w:bottom w:val="nil"/>
                <w:right w:val="nil"/>
                <w:between w:val="nil"/>
              </w:pBdr>
              <w:ind w:left="720"/>
              <w:rPr>
                <w:rFonts w:eastAsia="Arial" w:cs="Arial"/>
                <w:color w:val="000000"/>
                <w:szCs w:val="18"/>
              </w:rPr>
            </w:pPr>
            <w:r>
              <w:rPr>
                <w:rFonts w:eastAsia="Arial" w:cs="Arial"/>
                <w:color w:val="000000"/>
                <w:szCs w:val="18"/>
              </w:rPr>
              <w:t>Once diagnosed with a hip fracture:</w:t>
            </w:r>
          </w:p>
          <w:p w14:paraId="43D43C8C" w14:textId="77777777" w:rsidR="003B6051" w:rsidRDefault="007708D3" w:rsidP="003B6051">
            <w:pPr>
              <w:widowControl w:val="0"/>
              <w:numPr>
                <w:ilvl w:val="0"/>
                <w:numId w:val="9"/>
              </w:numPr>
              <w:pBdr>
                <w:top w:val="nil"/>
                <w:left w:val="nil"/>
                <w:bottom w:val="nil"/>
                <w:right w:val="nil"/>
                <w:between w:val="nil"/>
              </w:pBdr>
              <w:rPr>
                <w:rFonts w:eastAsia="Arial" w:cs="Arial"/>
                <w:i/>
                <w:color w:val="000000"/>
                <w:szCs w:val="18"/>
              </w:rPr>
            </w:pPr>
            <w:r>
              <w:rPr>
                <w:rFonts w:eastAsia="Arial" w:cs="Arial"/>
                <w:color w:val="000000"/>
                <w:szCs w:val="18"/>
              </w:rPr>
              <w:t xml:space="preserve">The patient should be admitted to hospital under the OrthoGeriatric service as per </w:t>
            </w:r>
            <w:r>
              <w:rPr>
                <w:rFonts w:eastAsia="Arial" w:cs="Arial"/>
                <w:i/>
                <w:color w:val="000000"/>
                <w:szCs w:val="18"/>
              </w:rPr>
              <w:t xml:space="preserve">Emergency Department DP-CC2 Admission Procedure for Adult Patients in Emergency Departments who </w:t>
            </w:r>
            <w:r>
              <w:rPr>
                <w:rFonts w:eastAsia="Arial" w:cs="Arial"/>
                <w:i/>
                <w:color w:val="000000"/>
                <w:szCs w:val="18"/>
              </w:rPr>
              <w:t>require Inpatient Admission; or</w:t>
            </w:r>
          </w:p>
          <w:p w14:paraId="40239503" w14:textId="77777777" w:rsidR="003B6051" w:rsidRDefault="007708D3" w:rsidP="003B6051">
            <w:pPr>
              <w:widowControl w:val="0"/>
              <w:numPr>
                <w:ilvl w:val="0"/>
                <w:numId w:val="9"/>
              </w:numPr>
              <w:pBdr>
                <w:top w:val="nil"/>
                <w:left w:val="nil"/>
                <w:bottom w:val="nil"/>
                <w:right w:val="nil"/>
                <w:between w:val="nil"/>
              </w:pBdr>
              <w:rPr>
                <w:rFonts w:eastAsia="Arial" w:cs="Arial"/>
                <w:color w:val="000000"/>
                <w:szCs w:val="18"/>
              </w:rPr>
            </w:pPr>
            <w:r>
              <w:rPr>
                <w:rFonts w:eastAsia="Arial" w:cs="Arial"/>
                <w:color w:val="000000"/>
                <w:szCs w:val="18"/>
              </w:rPr>
              <w:t xml:space="preserve">If the patient is already an inpatient (i.e. for hip fractures sustained in hospital), the patient should be transferred to the Orthogeriatric service.  </w:t>
            </w:r>
          </w:p>
          <w:p w14:paraId="301858E0" w14:textId="77777777" w:rsidR="003B6051" w:rsidRDefault="007708D3" w:rsidP="003B6051">
            <w:pPr>
              <w:widowControl w:val="0"/>
              <w:numPr>
                <w:ilvl w:val="0"/>
                <w:numId w:val="1"/>
              </w:numPr>
              <w:pBdr>
                <w:top w:val="nil"/>
                <w:left w:val="nil"/>
                <w:bottom w:val="nil"/>
                <w:right w:val="nil"/>
                <w:between w:val="nil"/>
              </w:pBdr>
              <w:ind w:left="720"/>
              <w:rPr>
                <w:rFonts w:eastAsia="Arial" w:cs="Arial"/>
                <w:color w:val="000000"/>
                <w:szCs w:val="18"/>
              </w:rPr>
            </w:pPr>
            <w:r>
              <w:rPr>
                <w:rFonts w:eastAsia="Arial" w:cs="Arial"/>
                <w:color w:val="000000"/>
                <w:szCs w:val="18"/>
              </w:rPr>
              <w:t>To do this, contact both the:</w:t>
            </w:r>
          </w:p>
          <w:p w14:paraId="31165979" w14:textId="77777777" w:rsidR="003B6051" w:rsidRDefault="007708D3" w:rsidP="003B6051">
            <w:pPr>
              <w:widowControl w:val="0"/>
              <w:numPr>
                <w:ilvl w:val="0"/>
                <w:numId w:val="4"/>
              </w:numPr>
              <w:pBdr>
                <w:top w:val="nil"/>
                <w:left w:val="nil"/>
                <w:bottom w:val="nil"/>
                <w:right w:val="nil"/>
                <w:between w:val="nil"/>
              </w:pBdr>
              <w:rPr>
                <w:rFonts w:eastAsia="Arial" w:cs="Arial"/>
                <w:color w:val="000000"/>
                <w:szCs w:val="18"/>
              </w:rPr>
            </w:pPr>
            <w:r>
              <w:rPr>
                <w:rFonts w:eastAsia="Arial" w:cs="Arial"/>
                <w:color w:val="000000"/>
                <w:szCs w:val="18"/>
              </w:rPr>
              <w:t>Orthopaedic unit Registrar (between 6am and 10pm); and</w:t>
            </w:r>
          </w:p>
          <w:p w14:paraId="41735777" w14:textId="77777777" w:rsidR="003B6051" w:rsidRDefault="007708D3" w:rsidP="003B6051">
            <w:pPr>
              <w:widowControl w:val="0"/>
              <w:numPr>
                <w:ilvl w:val="0"/>
                <w:numId w:val="4"/>
              </w:numPr>
              <w:pBdr>
                <w:top w:val="nil"/>
                <w:left w:val="nil"/>
                <w:bottom w:val="nil"/>
                <w:right w:val="nil"/>
                <w:between w:val="nil"/>
              </w:pBdr>
              <w:rPr>
                <w:rFonts w:eastAsia="Arial" w:cs="Arial"/>
                <w:color w:val="000000"/>
                <w:szCs w:val="18"/>
              </w:rPr>
            </w:pPr>
            <w:r>
              <w:rPr>
                <w:rFonts w:eastAsia="Arial" w:cs="Arial"/>
                <w:color w:val="000000"/>
                <w:szCs w:val="18"/>
              </w:rPr>
              <w:t>OrthoGeriatric un</w:t>
            </w:r>
            <w:r>
              <w:rPr>
                <w:rFonts w:eastAsia="Arial" w:cs="Arial"/>
                <w:color w:val="000000"/>
                <w:szCs w:val="18"/>
              </w:rPr>
              <w:t xml:space="preserve">it Registrar (between 8am and 5pm, Monday to Friday).  </w:t>
            </w:r>
          </w:p>
          <w:p w14:paraId="00EF4846" w14:textId="77777777" w:rsidR="003B6051" w:rsidRPr="00422E5A" w:rsidRDefault="007708D3" w:rsidP="003B6051">
            <w:pPr>
              <w:widowControl w:val="0"/>
              <w:numPr>
                <w:ilvl w:val="0"/>
                <w:numId w:val="4"/>
              </w:numPr>
              <w:pBdr>
                <w:top w:val="nil"/>
                <w:left w:val="nil"/>
                <w:bottom w:val="nil"/>
                <w:right w:val="nil"/>
                <w:between w:val="nil"/>
              </w:pBdr>
              <w:rPr>
                <w:rFonts w:eastAsia="Arial" w:cs="Arial"/>
                <w:color w:val="000000"/>
                <w:szCs w:val="18"/>
              </w:rPr>
            </w:pPr>
            <w:r w:rsidRPr="00422E5A">
              <w:rPr>
                <w:rFonts w:eastAsia="Arial" w:cs="Arial"/>
                <w:color w:val="000000"/>
                <w:szCs w:val="18"/>
              </w:rPr>
              <w:t>Outside of these hours if a hip fracture is confirmed in the Emergency Department then a 4-hour plan can be established and patient admitted under the OrthoG</w:t>
            </w:r>
            <w:r w:rsidRPr="006940B8">
              <w:rPr>
                <w:rFonts w:eastAsia="Arial" w:cs="Arial"/>
                <w:color w:val="000000"/>
                <w:szCs w:val="18"/>
              </w:rPr>
              <w:t>eriatric</w:t>
            </w:r>
            <w:r w:rsidRPr="00422E5A">
              <w:rPr>
                <w:rFonts w:eastAsia="Arial" w:cs="Arial"/>
                <w:color w:val="000000"/>
                <w:szCs w:val="18"/>
              </w:rPr>
              <w:t xml:space="preserve"> Service as per the Admission Guide</w:t>
            </w:r>
            <w:r w:rsidRPr="00422E5A">
              <w:rPr>
                <w:rFonts w:eastAsia="Arial" w:cs="Arial"/>
                <w:color w:val="000000"/>
                <w:szCs w:val="18"/>
              </w:rPr>
              <w:t xml:space="preserve">lines with the orthopaedic registrar being notified at 0600. All patients should be fasted from 0200 following </w:t>
            </w:r>
            <w:r w:rsidRPr="003E1C5C">
              <w:rPr>
                <w:rFonts w:eastAsia="Arial" w:cs="Arial"/>
                <w:i/>
                <w:color w:val="000000"/>
                <w:szCs w:val="18"/>
              </w:rPr>
              <w:t xml:space="preserve">OP-CC4 </w:t>
            </w:r>
            <w:r w:rsidRPr="003E1C5C">
              <w:rPr>
                <w:i/>
              </w:rPr>
              <w:t>Fasting Procedure for All Patients Requiring Anaesthesia</w:t>
            </w:r>
            <w:r>
              <w:rPr>
                <w:rFonts w:eastAsia="Arial" w:cs="Arial"/>
                <w:color w:val="000000"/>
                <w:szCs w:val="18"/>
              </w:rPr>
              <w:t>. The only exception to this is a subcapital neck of femur fracture</w:t>
            </w:r>
            <w:r w:rsidRPr="00422E5A">
              <w:rPr>
                <w:rFonts w:eastAsia="Arial" w:cs="Arial"/>
                <w:color w:val="000000"/>
                <w:szCs w:val="18"/>
              </w:rPr>
              <w:t xml:space="preserve"> </w:t>
            </w:r>
            <w:r>
              <w:rPr>
                <w:rFonts w:eastAsia="Arial" w:cs="Arial"/>
                <w:color w:val="000000"/>
                <w:szCs w:val="18"/>
              </w:rPr>
              <w:t xml:space="preserve">under the age </w:t>
            </w:r>
            <w:r>
              <w:rPr>
                <w:rFonts w:eastAsia="Arial" w:cs="Arial"/>
                <w:color w:val="000000"/>
                <w:szCs w:val="18"/>
              </w:rPr>
              <w:t>of 60 years in which the orthopaedic registrar should be notified as soon as the fracture is confirmed (even after-hours).</w:t>
            </w:r>
          </w:p>
          <w:p w14:paraId="76B46950" w14:textId="77777777" w:rsidR="003B6051" w:rsidRDefault="003B6051" w:rsidP="003B6051">
            <w:pPr>
              <w:widowControl w:val="0"/>
              <w:pBdr>
                <w:top w:val="nil"/>
                <w:left w:val="nil"/>
                <w:bottom w:val="nil"/>
                <w:right w:val="nil"/>
                <w:between w:val="nil"/>
              </w:pBdr>
              <w:rPr>
                <w:rFonts w:eastAsia="Arial" w:cs="Arial"/>
                <w:color w:val="000000"/>
                <w:szCs w:val="18"/>
              </w:rPr>
            </w:pPr>
          </w:p>
          <w:p w14:paraId="023911A3" w14:textId="77777777" w:rsidR="003B6051" w:rsidRPr="0081001B" w:rsidRDefault="007708D3" w:rsidP="003B6051">
            <w:pPr>
              <w:pStyle w:val="Heading3"/>
              <w:rPr>
                <w:sz w:val="19"/>
              </w:rPr>
            </w:pPr>
            <w:r w:rsidRPr="0081001B">
              <w:rPr>
                <w:sz w:val="19"/>
              </w:rPr>
              <w:t>7.2.3  Transfer to Footscray Hospital</w:t>
            </w:r>
          </w:p>
          <w:p w14:paraId="626644B3" w14:textId="77777777" w:rsidR="003B6051" w:rsidRDefault="007708D3" w:rsidP="003B6051">
            <w:pPr>
              <w:widowControl w:val="0"/>
              <w:numPr>
                <w:ilvl w:val="0"/>
                <w:numId w:val="1"/>
              </w:numPr>
              <w:pBdr>
                <w:top w:val="nil"/>
                <w:left w:val="nil"/>
                <w:bottom w:val="nil"/>
                <w:right w:val="nil"/>
                <w:between w:val="nil"/>
              </w:pBdr>
              <w:ind w:left="720"/>
              <w:rPr>
                <w:rFonts w:eastAsia="Arial" w:cs="Arial"/>
                <w:color w:val="000000"/>
                <w:szCs w:val="18"/>
              </w:rPr>
            </w:pPr>
            <w:r>
              <w:rPr>
                <w:rFonts w:eastAsia="Arial" w:cs="Arial"/>
                <w:color w:val="000000"/>
                <w:szCs w:val="18"/>
              </w:rPr>
              <w:t>If a patient with a hip fracture is located at a Western Health site other than Footscray Hospital, they should be transferred to Footscray Hospital as soon as possible, and no later than 24 hours after hip fracture diagnosis (unless operative intervention</w:t>
            </w:r>
            <w:r>
              <w:rPr>
                <w:rFonts w:eastAsia="Arial" w:cs="Arial"/>
                <w:color w:val="000000"/>
                <w:szCs w:val="18"/>
              </w:rPr>
              <w:t xml:space="preserve"> is not to be undertaken). </w:t>
            </w:r>
          </w:p>
          <w:p w14:paraId="0866607F" w14:textId="77777777" w:rsidR="003B6051" w:rsidRDefault="007708D3" w:rsidP="003B6051">
            <w:pPr>
              <w:widowControl w:val="0"/>
              <w:numPr>
                <w:ilvl w:val="0"/>
                <w:numId w:val="1"/>
              </w:numPr>
              <w:pBdr>
                <w:top w:val="nil"/>
                <w:left w:val="nil"/>
                <w:bottom w:val="nil"/>
                <w:right w:val="nil"/>
                <w:between w:val="nil"/>
              </w:pBdr>
              <w:ind w:left="720"/>
              <w:rPr>
                <w:rFonts w:eastAsia="Arial" w:cs="Arial"/>
                <w:color w:val="000000"/>
                <w:szCs w:val="18"/>
              </w:rPr>
            </w:pPr>
            <w:r>
              <w:rPr>
                <w:rFonts w:eastAsia="Arial" w:cs="Arial"/>
                <w:color w:val="000000"/>
                <w:szCs w:val="18"/>
              </w:rPr>
              <w:t xml:space="preserve">The orthopaedic registrar on-call for that site should be contacted who will liaise with the OGS team at Footscray </w:t>
            </w:r>
          </w:p>
          <w:p w14:paraId="5A90ADF8" w14:textId="77777777" w:rsidR="003B6051" w:rsidRPr="00EA4628" w:rsidRDefault="007708D3" w:rsidP="003B6051">
            <w:pPr>
              <w:pStyle w:val="ListParagraph"/>
              <w:widowControl w:val="0"/>
              <w:numPr>
                <w:ilvl w:val="0"/>
                <w:numId w:val="20"/>
              </w:numPr>
              <w:pBdr>
                <w:top w:val="nil"/>
                <w:left w:val="nil"/>
                <w:bottom w:val="nil"/>
                <w:right w:val="nil"/>
                <w:between w:val="nil"/>
              </w:pBdr>
              <w:rPr>
                <w:rFonts w:eastAsia="Arial" w:cs="Arial"/>
                <w:color w:val="000000"/>
                <w:szCs w:val="18"/>
              </w:rPr>
            </w:pPr>
            <w:r>
              <w:rPr>
                <w:rFonts w:eastAsia="Arial" w:cs="Arial"/>
                <w:color w:val="000000"/>
                <w:szCs w:val="18"/>
              </w:rPr>
              <w:t>If a patient is deemed too medically unstable for transfer to Footscray by the Emergency or Orthopaedic team, co</w:t>
            </w:r>
            <w:r>
              <w:rPr>
                <w:rFonts w:eastAsia="Arial" w:cs="Arial"/>
                <w:color w:val="000000"/>
                <w:szCs w:val="18"/>
              </w:rPr>
              <w:t>ntact the ED Geriatrician (Monday – Friday, 0800-1600) or the on-call Geriatrician (after-hours and weekends) to discuss whether appropriate for admission under Acute Aged Care at Sunshine.</w:t>
            </w:r>
          </w:p>
          <w:p w14:paraId="7B6EE805" w14:textId="77777777" w:rsidR="003B6051" w:rsidRDefault="003B6051" w:rsidP="003B6051">
            <w:pPr>
              <w:widowControl w:val="0"/>
              <w:pBdr>
                <w:top w:val="nil"/>
                <w:left w:val="nil"/>
                <w:bottom w:val="nil"/>
                <w:right w:val="nil"/>
                <w:between w:val="nil"/>
              </w:pBdr>
              <w:tabs>
                <w:tab w:val="left" w:pos="680"/>
              </w:tabs>
              <w:rPr>
                <w:rFonts w:eastAsia="Arial" w:cs="Arial"/>
                <w:color w:val="000000"/>
                <w:szCs w:val="18"/>
              </w:rPr>
            </w:pPr>
          </w:p>
          <w:p w14:paraId="68C7FB5B" w14:textId="77777777" w:rsidR="003B6051" w:rsidRDefault="007708D3" w:rsidP="003B6051">
            <w:pPr>
              <w:pStyle w:val="Heading3"/>
            </w:pPr>
            <w:r w:rsidRPr="0081001B">
              <w:rPr>
                <w:sz w:val="19"/>
              </w:rPr>
              <w:t>7.2.4  Medical Assessment</w:t>
            </w:r>
          </w:p>
          <w:p w14:paraId="5B02AF7E" w14:textId="77777777" w:rsidR="003B6051" w:rsidRDefault="007708D3" w:rsidP="003B6051">
            <w:pPr>
              <w:widowControl w:val="0"/>
              <w:numPr>
                <w:ilvl w:val="0"/>
                <w:numId w:val="1"/>
              </w:numPr>
              <w:pBdr>
                <w:top w:val="nil"/>
                <w:left w:val="nil"/>
                <w:bottom w:val="nil"/>
                <w:right w:val="nil"/>
                <w:between w:val="nil"/>
              </w:pBdr>
              <w:ind w:left="720"/>
              <w:rPr>
                <w:rFonts w:eastAsia="Arial" w:cs="Arial"/>
                <w:color w:val="000000"/>
                <w:szCs w:val="18"/>
              </w:rPr>
            </w:pPr>
            <w:r>
              <w:rPr>
                <w:rFonts w:eastAsia="Arial" w:cs="Arial"/>
                <w:color w:val="000000"/>
                <w:szCs w:val="18"/>
              </w:rPr>
              <w:t xml:space="preserve">Pre-operative medical assessment should be undertaken immediately to assess fitness for surgery and optimise treatable co-morbidities. </w:t>
            </w:r>
          </w:p>
          <w:p w14:paraId="11136206" w14:textId="77777777" w:rsidR="003B6051" w:rsidRDefault="007708D3" w:rsidP="003B6051">
            <w:pPr>
              <w:widowControl w:val="0"/>
              <w:numPr>
                <w:ilvl w:val="0"/>
                <w:numId w:val="1"/>
              </w:numPr>
              <w:pBdr>
                <w:top w:val="nil"/>
                <w:left w:val="nil"/>
                <w:bottom w:val="nil"/>
                <w:right w:val="nil"/>
                <w:between w:val="nil"/>
              </w:pBdr>
              <w:ind w:left="720"/>
              <w:rPr>
                <w:rFonts w:eastAsia="Arial" w:cs="Arial"/>
                <w:color w:val="000000"/>
                <w:szCs w:val="18"/>
              </w:rPr>
            </w:pPr>
            <w:r>
              <w:rPr>
                <w:rFonts w:eastAsia="Arial" w:cs="Arial"/>
                <w:color w:val="000000"/>
                <w:szCs w:val="18"/>
              </w:rPr>
              <w:t>This should involve assessment of:</w:t>
            </w:r>
          </w:p>
          <w:p w14:paraId="2FA42D37" w14:textId="77777777" w:rsidR="003B6051" w:rsidRDefault="007708D3" w:rsidP="003B6051">
            <w:pPr>
              <w:widowControl w:val="0"/>
              <w:numPr>
                <w:ilvl w:val="0"/>
                <w:numId w:val="5"/>
              </w:numPr>
              <w:pBdr>
                <w:top w:val="nil"/>
                <w:left w:val="nil"/>
                <w:bottom w:val="nil"/>
                <w:right w:val="nil"/>
                <w:between w:val="nil"/>
              </w:pBdr>
              <w:rPr>
                <w:rFonts w:eastAsia="Arial" w:cs="Arial"/>
                <w:color w:val="000000"/>
                <w:szCs w:val="18"/>
              </w:rPr>
            </w:pPr>
            <w:r>
              <w:rPr>
                <w:rFonts w:eastAsia="Arial" w:cs="Arial"/>
                <w:color w:val="000000"/>
                <w:szCs w:val="18"/>
              </w:rPr>
              <w:t>Cardio-respiratory fitness;</w:t>
            </w:r>
          </w:p>
          <w:p w14:paraId="486750D3" w14:textId="77777777" w:rsidR="003B6051" w:rsidRDefault="007708D3" w:rsidP="003B6051">
            <w:pPr>
              <w:widowControl w:val="0"/>
              <w:numPr>
                <w:ilvl w:val="0"/>
                <w:numId w:val="5"/>
              </w:numPr>
              <w:pBdr>
                <w:top w:val="nil"/>
                <w:left w:val="nil"/>
                <w:bottom w:val="nil"/>
                <w:right w:val="nil"/>
                <w:between w:val="nil"/>
              </w:pBdr>
              <w:rPr>
                <w:rFonts w:eastAsia="Arial" w:cs="Arial"/>
                <w:color w:val="000000"/>
                <w:szCs w:val="18"/>
              </w:rPr>
            </w:pPr>
            <w:r>
              <w:rPr>
                <w:rFonts w:eastAsia="Arial" w:cs="Arial"/>
                <w:color w:val="000000"/>
                <w:szCs w:val="18"/>
              </w:rPr>
              <w:t>Anti-coagulation/anti-platelet therapy:</w:t>
            </w:r>
          </w:p>
          <w:p w14:paraId="3E94912F" w14:textId="77777777" w:rsidR="003B6051" w:rsidRDefault="007708D3" w:rsidP="003B6051">
            <w:pPr>
              <w:widowControl w:val="0"/>
              <w:numPr>
                <w:ilvl w:val="0"/>
                <w:numId w:val="8"/>
              </w:numPr>
              <w:pBdr>
                <w:top w:val="nil"/>
                <w:left w:val="nil"/>
                <w:bottom w:val="nil"/>
                <w:right w:val="nil"/>
                <w:between w:val="nil"/>
              </w:pBdr>
              <w:rPr>
                <w:rFonts w:eastAsia="Arial" w:cs="Arial"/>
                <w:color w:val="000000"/>
                <w:szCs w:val="18"/>
              </w:rPr>
            </w:pPr>
            <w:r>
              <w:rPr>
                <w:rFonts w:eastAsia="Arial" w:cs="Arial"/>
                <w:color w:val="000000"/>
                <w:szCs w:val="18"/>
              </w:rPr>
              <w:t xml:space="preserve">see </w:t>
            </w:r>
            <w:r>
              <w:rPr>
                <w:rFonts w:eastAsia="Arial" w:cs="Arial"/>
                <w:i/>
                <w:color w:val="000000"/>
                <w:szCs w:val="18"/>
              </w:rPr>
              <w:t>Neck of Femur Fracture Antiplatelet and Anticoagulation Management Reference Sheet</w:t>
            </w:r>
            <w:r>
              <w:rPr>
                <w:rFonts w:eastAsia="Arial" w:cs="Arial"/>
                <w:color w:val="000000"/>
                <w:szCs w:val="18"/>
              </w:rPr>
              <w:t>.</w:t>
            </w:r>
          </w:p>
          <w:p w14:paraId="64928C71" w14:textId="77777777" w:rsidR="003B6051" w:rsidRDefault="007708D3" w:rsidP="003B6051">
            <w:pPr>
              <w:widowControl w:val="0"/>
              <w:numPr>
                <w:ilvl w:val="0"/>
                <w:numId w:val="5"/>
              </w:numPr>
              <w:pBdr>
                <w:top w:val="nil"/>
                <w:left w:val="nil"/>
                <w:bottom w:val="nil"/>
                <w:right w:val="nil"/>
                <w:between w:val="nil"/>
              </w:pBdr>
              <w:rPr>
                <w:rFonts w:eastAsia="Arial" w:cs="Arial"/>
                <w:color w:val="000000"/>
                <w:szCs w:val="18"/>
              </w:rPr>
            </w:pPr>
            <w:r>
              <w:rPr>
                <w:rFonts w:eastAsia="Arial" w:cs="Arial"/>
                <w:color w:val="000000"/>
                <w:szCs w:val="18"/>
              </w:rPr>
              <w:t>Diabetes management:</w:t>
            </w:r>
          </w:p>
          <w:p w14:paraId="6522B91E" w14:textId="77777777" w:rsidR="003B6051" w:rsidRDefault="007708D3" w:rsidP="003B6051">
            <w:pPr>
              <w:widowControl w:val="0"/>
              <w:numPr>
                <w:ilvl w:val="0"/>
                <w:numId w:val="8"/>
              </w:numPr>
              <w:pBdr>
                <w:top w:val="nil"/>
                <w:left w:val="nil"/>
                <w:bottom w:val="nil"/>
                <w:right w:val="nil"/>
                <w:between w:val="nil"/>
              </w:pBdr>
              <w:rPr>
                <w:rFonts w:eastAsia="Arial" w:cs="Arial"/>
                <w:color w:val="000000"/>
                <w:szCs w:val="18"/>
              </w:rPr>
            </w:pPr>
            <w:r>
              <w:rPr>
                <w:rFonts w:eastAsia="Arial" w:cs="Arial"/>
                <w:color w:val="000000"/>
                <w:szCs w:val="18"/>
              </w:rPr>
              <w:t xml:space="preserve">see </w:t>
            </w:r>
            <w:r>
              <w:rPr>
                <w:rFonts w:eastAsia="Arial" w:cs="Arial"/>
                <w:i/>
                <w:color w:val="000000"/>
                <w:szCs w:val="18"/>
              </w:rPr>
              <w:t>#NOF Perioperative Management of Diabetes Quick Reference Sheet</w:t>
            </w:r>
            <w:r>
              <w:rPr>
                <w:rFonts w:eastAsia="Arial" w:cs="Arial"/>
                <w:color w:val="000000"/>
                <w:szCs w:val="18"/>
              </w:rPr>
              <w:t>.</w:t>
            </w:r>
          </w:p>
          <w:p w14:paraId="0024AD96" w14:textId="77777777" w:rsidR="003B6051" w:rsidRDefault="007708D3" w:rsidP="003B6051">
            <w:pPr>
              <w:widowControl w:val="0"/>
              <w:numPr>
                <w:ilvl w:val="0"/>
                <w:numId w:val="5"/>
              </w:numPr>
              <w:pBdr>
                <w:top w:val="nil"/>
                <w:left w:val="nil"/>
                <w:bottom w:val="nil"/>
                <w:right w:val="nil"/>
                <w:between w:val="nil"/>
              </w:pBdr>
              <w:rPr>
                <w:rFonts w:eastAsia="Arial" w:cs="Arial"/>
                <w:color w:val="000000"/>
                <w:szCs w:val="18"/>
              </w:rPr>
            </w:pPr>
            <w:r>
              <w:rPr>
                <w:rFonts w:eastAsia="Arial" w:cs="Arial"/>
                <w:color w:val="000000"/>
                <w:szCs w:val="18"/>
              </w:rPr>
              <w:t xml:space="preserve">Results of blood tests (FBE, UEC, </w:t>
            </w:r>
            <w:r>
              <w:rPr>
                <w:rFonts w:eastAsia="Arial" w:cs="Arial"/>
                <w:color w:val="000000"/>
                <w:szCs w:val="18"/>
              </w:rPr>
              <w:t>coagulation studies) and other investigations (CXR, ECG, MSU); and</w:t>
            </w:r>
          </w:p>
          <w:p w14:paraId="1A24065F" w14:textId="77777777" w:rsidR="003B6051" w:rsidRDefault="007708D3" w:rsidP="003B6051">
            <w:pPr>
              <w:widowControl w:val="0"/>
              <w:numPr>
                <w:ilvl w:val="0"/>
                <w:numId w:val="5"/>
              </w:numPr>
              <w:pBdr>
                <w:top w:val="nil"/>
                <w:left w:val="nil"/>
                <w:bottom w:val="nil"/>
                <w:right w:val="nil"/>
                <w:between w:val="nil"/>
              </w:pBdr>
              <w:rPr>
                <w:rFonts w:eastAsia="Arial" w:cs="Arial"/>
                <w:color w:val="000000"/>
                <w:szCs w:val="18"/>
              </w:rPr>
            </w:pPr>
            <w:r>
              <w:rPr>
                <w:rFonts w:eastAsia="Arial" w:cs="Arial"/>
                <w:color w:val="000000"/>
                <w:szCs w:val="18"/>
              </w:rPr>
              <w:t>Any other injuries resulting from the fall.</w:t>
            </w:r>
          </w:p>
          <w:p w14:paraId="73152ACD" w14:textId="77777777" w:rsidR="003B6051" w:rsidRDefault="007708D3" w:rsidP="003B6051">
            <w:pPr>
              <w:widowControl w:val="0"/>
              <w:numPr>
                <w:ilvl w:val="0"/>
                <w:numId w:val="5"/>
              </w:numPr>
              <w:pBdr>
                <w:top w:val="nil"/>
                <w:left w:val="nil"/>
                <w:bottom w:val="nil"/>
                <w:right w:val="nil"/>
                <w:between w:val="nil"/>
              </w:pBdr>
              <w:rPr>
                <w:rFonts w:eastAsia="Arial" w:cs="Arial"/>
                <w:color w:val="000000"/>
                <w:szCs w:val="18"/>
              </w:rPr>
            </w:pPr>
            <w:r>
              <w:rPr>
                <w:rFonts w:eastAsia="Arial" w:cs="Arial"/>
                <w:color w:val="000000"/>
                <w:szCs w:val="18"/>
              </w:rPr>
              <w:t>Any other illnesses that may have precipitated the fall (ie infection, decompensated heart failure etc.)</w:t>
            </w:r>
          </w:p>
          <w:p w14:paraId="0E17DCD7" w14:textId="77777777" w:rsidR="003B6051" w:rsidRDefault="007708D3" w:rsidP="003B6051">
            <w:pPr>
              <w:widowControl w:val="0"/>
              <w:pBdr>
                <w:top w:val="nil"/>
                <w:left w:val="nil"/>
                <w:bottom w:val="nil"/>
                <w:right w:val="nil"/>
                <w:between w:val="nil"/>
              </w:pBdr>
              <w:ind w:left="720"/>
              <w:rPr>
                <w:rFonts w:eastAsia="Arial" w:cs="Arial"/>
                <w:color w:val="000000"/>
                <w:szCs w:val="18"/>
              </w:rPr>
            </w:pPr>
            <w:r>
              <w:rPr>
                <w:rFonts w:eastAsia="Arial" w:cs="Arial"/>
                <w:color w:val="000000"/>
                <w:szCs w:val="18"/>
              </w:rPr>
              <w:t xml:space="preserve">Fitness for surgery needs to be </w:t>
            </w:r>
            <w:r>
              <w:rPr>
                <w:rFonts w:eastAsia="Arial" w:cs="Arial"/>
                <w:color w:val="000000"/>
                <w:szCs w:val="18"/>
              </w:rPr>
              <w:t xml:space="preserve">evaluated in light of the goals of care (eg surgery may be palliative in nature); if it is considered that the patient is not fit for surgery, this should be discussed between the Orthopaedic, Geriatric Medicine and Anaesthetics teams with the involvement </w:t>
            </w:r>
            <w:r>
              <w:rPr>
                <w:rFonts w:eastAsia="Arial" w:cs="Arial"/>
                <w:color w:val="000000"/>
                <w:szCs w:val="18"/>
              </w:rPr>
              <w:t xml:space="preserve">of the patient and medical treatment decision maker. </w:t>
            </w:r>
          </w:p>
          <w:p w14:paraId="447FCC0B" w14:textId="77777777" w:rsidR="003B6051" w:rsidRDefault="003B6051" w:rsidP="003B6051">
            <w:pPr>
              <w:widowControl w:val="0"/>
              <w:pBdr>
                <w:top w:val="nil"/>
                <w:left w:val="nil"/>
                <w:bottom w:val="nil"/>
                <w:right w:val="nil"/>
                <w:between w:val="nil"/>
              </w:pBdr>
              <w:tabs>
                <w:tab w:val="left" w:pos="680"/>
              </w:tabs>
              <w:ind w:left="680" w:hanging="680"/>
            </w:pPr>
          </w:p>
          <w:p w14:paraId="75C394B7" w14:textId="77777777" w:rsidR="003B6051" w:rsidRDefault="007708D3" w:rsidP="003B6051">
            <w:pPr>
              <w:widowControl w:val="0"/>
              <w:pBdr>
                <w:top w:val="single" w:sz="12" w:space="1" w:color="000000"/>
                <w:left w:val="single" w:sz="12" w:space="4" w:color="000000"/>
                <w:bottom w:val="single" w:sz="12" w:space="1" w:color="000000"/>
                <w:right w:val="single" w:sz="12" w:space="4" w:color="000000"/>
                <w:between w:val="nil"/>
              </w:pBdr>
              <w:shd w:val="clear" w:color="auto" w:fill="FBD5B5"/>
              <w:tabs>
                <w:tab w:val="left" w:pos="713"/>
                <w:tab w:val="left" w:pos="2779"/>
              </w:tabs>
              <w:ind w:left="2520" w:right="596" w:hanging="1710"/>
            </w:pPr>
            <w:r>
              <w:rPr>
                <w:rFonts w:eastAsia="Arial" w:cs="Arial"/>
                <w:b/>
                <w:color w:val="000000"/>
                <w:szCs w:val="18"/>
              </w:rPr>
              <w:t>Quality indicator:</w:t>
            </w:r>
            <w:r>
              <w:rPr>
                <w:rFonts w:eastAsia="Arial" w:cs="Arial"/>
                <w:color w:val="000000"/>
                <w:szCs w:val="18"/>
              </w:rPr>
              <w:t xml:space="preserve">  At least 65 per cent of patients are reviewed by Geriatric Medicine prior t</w:t>
            </w:r>
            <w:r>
              <w:t xml:space="preserve">o </w:t>
            </w:r>
            <w:r>
              <w:rPr>
                <w:rFonts w:eastAsia="Arial" w:cs="Arial"/>
                <w:color w:val="000000"/>
                <w:szCs w:val="18"/>
              </w:rPr>
              <w:t>surgery.</w:t>
            </w:r>
          </w:p>
          <w:p w14:paraId="6B2D1EB3" w14:textId="77777777" w:rsidR="003B6051" w:rsidRDefault="003B6051" w:rsidP="003B6051">
            <w:pPr>
              <w:widowControl w:val="0"/>
              <w:pBdr>
                <w:top w:val="nil"/>
                <w:left w:val="nil"/>
                <w:bottom w:val="nil"/>
                <w:right w:val="nil"/>
                <w:between w:val="nil"/>
              </w:pBdr>
              <w:tabs>
                <w:tab w:val="left" w:pos="680"/>
              </w:tabs>
              <w:rPr>
                <w:rFonts w:eastAsia="Arial" w:cs="Arial"/>
                <w:color w:val="000000"/>
                <w:szCs w:val="18"/>
              </w:rPr>
            </w:pPr>
          </w:p>
          <w:p w14:paraId="3CFF9A5C" w14:textId="77777777" w:rsidR="003B6051" w:rsidRPr="0081001B" w:rsidRDefault="007708D3" w:rsidP="003B6051">
            <w:pPr>
              <w:pStyle w:val="Heading3"/>
              <w:rPr>
                <w:sz w:val="19"/>
              </w:rPr>
            </w:pPr>
            <w:bookmarkStart w:id="0" w:name="_heading=h.gjdgxs" w:colFirst="0" w:colLast="0"/>
            <w:bookmarkEnd w:id="0"/>
            <w:r w:rsidRPr="0081001B">
              <w:rPr>
                <w:sz w:val="19"/>
              </w:rPr>
              <w:t xml:space="preserve">7.2.5 </w:t>
            </w:r>
            <w:r>
              <w:rPr>
                <w:sz w:val="19"/>
              </w:rPr>
              <w:t xml:space="preserve"> </w:t>
            </w:r>
            <w:r w:rsidRPr="0081001B">
              <w:rPr>
                <w:sz w:val="19"/>
              </w:rPr>
              <w:t>Cognition/Delirium Assessment</w:t>
            </w:r>
          </w:p>
          <w:p w14:paraId="34D19377" w14:textId="77777777" w:rsidR="003B6051" w:rsidRDefault="007708D3" w:rsidP="003B6051">
            <w:pPr>
              <w:numPr>
                <w:ilvl w:val="0"/>
                <w:numId w:val="10"/>
              </w:numPr>
            </w:pPr>
            <w:r>
              <w:t xml:space="preserve">The patient will be assessed for delirium each day in accordance with </w:t>
            </w:r>
            <w:r w:rsidRPr="003E1C5C">
              <w:rPr>
                <w:i/>
              </w:rPr>
              <w:t>OG-GC2 Delirium Guidelines</w:t>
            </w:r>
            <w:r>
              <w:t>.</w:t>
            </w:r>
          </w:p>
          <w:p w14:paraId="6713001D" w14:textId="77777777" w:rsidR="003B6051" w:rsidRDefault="007708D3" w:rsidP="003B6051">
            <w:pPr>
              <w:numPr>
                <w:ilvl w:val="0"/>
                <w:numId w:val="10"/>
              </w:numPr>
            </w:pPr>
            <w:r>
              <w:t>Screening for delirium will be completed preoperatively and ideally post-operatively by the medical team.</w:t>
            </w:r>
          </w:p>
          <w:p w14:paraId="5EF8481A" w14:textId="77777777" w:rsidR="003B6051" w:rsidRDefault="007708D3" w:rsidP="003B6051">
            <w:pPr>
              <w:numPr>
                <w:ilvl w:val="0"/>
                <w:numId w:val="10"/>
              </w:numPr>
            </w:pPr>
            <w:r>
              <w:t>Interventions will be put in place based upon screen</w:t>
            </w:r>
            <w:r>
              <w:t xml:space="preserve">ing as per </w:t>
            </w:r>
            <w:r w:rsidRPr="003E1C5C">
              <w:rPr>
                <w:i/>
              </w:rPr>
              <w:t>OG-GC2 Delirium Guidelines</w:t>
            </w:r>
            <w:r>
              <w:t xml:space="preserve">. </w:t>
            </w:r>
          </w:p>
          <w:p w14:paraId="75F2F90A" w14:textId="77777777" w:rsidR="003B6051" w:rsidRDefault="003B6051" w:rsidP="003B6051"/>
          <w:p w14:paraId="0548EE8C" w14:textId="77777777" w:rsidR="003B6051" w:rsidRDefault="007708D3" w:rsidP="003B6051">
            <w:pPr>
              <w:pBdr>
                <w:top w:val="single" w:sz="12" w:space="1" w:color="000000"/>
                <w:left w:val="single" w:sz="12" w:space="4" w:color="000000"/>
                <w:bottom w:val="single" w:sz="12" w:space="1" w:color="000000"/>
                <w:right w:val="single" w:sz="12" w:space="4" w:color="000000"/>
              </w:pBdr>
              <w:shd w:val="clear" w:color="auto" w:fill="FBD5B5"/>
              <w:tabs>
                <w:tab w:val="left" w:pos="2779"/>
                <w:tab w:val="left" w:pos="2873"/>
              </w:tabs>
              <w:ind w:left="2340" w:right="596" w:hanging="1620"/>
            </w:pPr>
            <w:bookmarkStart w:id="1" w:name="_heading=h.30j0zll" w:colFirst="0" w:colLast="0"/>
            <w:bookmarkEnd w:id="1"/>
            <w:r>
              <w:rPr>
                <w:b/>
              </w:rPr>
              <w:t>Quality indicator:</w:t>
            </w:r>
            <w:r>
              <w:t xml:space="preserve">  At least 75 per cent of patients with a hip fracture receive a delirium assessment using a validated tool prior to surgery.</w:t>
            </w:r>
          </w:p>
          <w:p w14:paraId="59F4125A" w14:textId="77777777" w:rsidR="003B6051" w:rsidRDefault="003B6051" w:rsidP="003B6051">
            <w:pPr>
              <w:widowControl w:val="0"/>
              <w:pBdr>
                <w:top w:val="nil"/>
                <w:left w:val="nil"/>
                <w:bottom w:val="nil"/>
                <w:right w:val="nil"/>
                <w:between w:val="nil"/>
              </w:pBdr>
              <w:tabs>
                <w:tab w:val="left" w:pos="680"/>
              </w:tabs>
              <w:rPr>
                <w:rFonts w:eastAsia="Arial" w:cs="Arial"/>
                <w:color w:val="000000"/>
                <w:szCs w:val="18"/>
              </w:rPr>
            </w:pPr>
          </w:p>
          <w:p w14:paraId="0370E7F5" w14:textId="77777777" w:rsidR="003B6051" w:rsidRPr="0081001B" w:rsidRDefault="007708D3" w:rsidP="003B6051">
            <w:pPr>
              <w:pStyle w:val="Heading3"/>
              <w:numPr>
                <w:ilvl w:val="2"/>
                <w:numId w:val="21"/>
              </w:numPr>
              <w:rPr>
                <w:sz w:val="19"/>
              </w:rPr>
            </w:pPr>
            <w:r w:rsidRPr="0081001B">
              <w:rPr>
                <w:sz w:val="19"/>
              </w:rPr>
              <w:t xml:space="preserve"> DVT Prophylaxis</w:t>
            </w:r>
          </w:p>
          <w:p w14:paraId="1D7F4CA4" w14:textId="77777777" w:rsidR="003B6051" w:rsidRDefault="007708D3" w:rsidP="003B6051">
            <w:pPr>
              <w:widowControl w:val="0"/>
              <w:numPr>
                <w:ilvl w:val="0"/>
                <w:numId w:val="1"/>
              </w:numPr>
              <w:pBdr>
                <w:top w:val="nil"/>
                <w:left w:val="nil"/>
                <w:bottom w:val="nil"/>
                <w:right w:val="nil"/>
                <w:between w:val="nil"/>
              </w:pBdr>
              <w:ind w:left="720"/>
              <w:rPr>
                <w:rFonts w:eastAsia="Arial" w:cs="Arial"/>
                <w:color w:val="000000"/>
                <w:szCs w:val="18"/>
              </w:rPr>
            </w:pPr>
            <w:r>
              <w:rPr>
                <w:rFonts w:eastAsia="Arial" w:cs="Arial"/>
                <w:color w:val="000000"/>
                <w:szCs w:val="18"/>
              </w:rPr>
              <w:t xml:space="preserve">The patient should receive treatment to prevent deep vein thrombosis in accordance with the </w:t>
            </w:r>
            <w:r>
              <w:rPr>
                <w:rFonts w:eastAsia="Arial" w:cs="Arial"/>
                <w:i/>
                <w:color w:val="000000"/>
                <w:szCs w:val="18"/>
              </w:rPr>
              <w:t xml:space="preserve">OP-GC6 Adult Venous Thromboembolism </w:t>
            </w:r>
            <w:r w:rsidRPr="00EA4628">
              <w:rPr>
                <w:rFonts w:eastAsia="Arial" w:cs="Arial"/>
                <w:i/>
                <w:color w:val="000000"/>
                <w:szCs w:val="18"/>
              </w:rPr>
              <w:t>Prevention procedure</w:t>
            </w:r>
            <w:r>
              <w:rPr>
                <w:rFonts w:eastAsia="Arial" w:cs="Arial"/>
                <w:color w:val="000000"/>
                <w:szCs w:val="18"/>
              </w:rPr>
              <w:t xml:space="preserve"> and </w:t>
            </w:r>
            <w:r w:rsidRPr="00EA4628">
              <w:rPr>
                <w:rFonts w:eastAsia="Arial" w:cs="Arial"/>
                <w:i/>
                <w:color w:val="000000"/>
                <w:szCs w:val="18"/>
              </w:rPr>
              <w:t xml:space="preserve"># NOF </w:t>
            </w:r>
            <w:r>
              <w:rPr>
                <w:rFonts w:eastAsia="Arial" w:cs="Arial"/>
                <w:i/>
                <w:color w:val="000000"/>
                <w:szCs w:val="18"/>
              </w:rPr>
              <w:t>DVT Prophylaxis Quick Reference Sheet</w:t>
            </w:r>
            <w:r>
              <w:rPr>
                <w:rFonts w:eastAsia="Arial" w:cs="Arial"/>
                <w:color w:val="000000"/>
                <w:szCs w:val="18"/>
              </w:rPr>
              <w:t>.</w:t>
            </w:r>
          </w:p>
          <w:p w14:paraId="37ABF09E" w14:textId="77777777" w:rsidR="003B6051" w:rsidRPr="003E1C5C" w:rsidRDefault="007708D3" w:rsidP="003B6051">
            <w:pPr>
              <w:widowControl w:val="0"/>
              <w:numPr>
                <w:ilvl w:val="0"/>
                <w:numId w:val="1"/>
              </w:numPr>
              <w:pBdr>
                <w:top w:val="nil"/>
                <w:left w:val="nil"/>
                <w:bottom w:val="nil"/>
                <w:right w:val="nil"/>
                <w:between w:val="nil"/>
              </w:pBdr>
              <w:ind w:left="720"/>
              <w:rPr>
                <w:rFonts w:eastAsia="Arial" w:cs="Arial"/>
                <w:color w:val="000000"/>
                <w:szCs w:val="18"/>
              </w:rPr>
            </w:pPr>
            <w:r w:rsidRPr="003E1C5C">
              <w:rPr>
                <w:rFonts w:eastAsia="Arial"/>
              </w:rPr>
              <w:t>DVT prophylaxis to be charted and administered at 2000 (8p</w:t>
            </w:r>
            <w:r w:rsidRPr="003E1C5C">
              <w:rPr>
                <w:rFonts w:eastAsia="Arial"/>
              </w:rPr>
              <w:t xml:space="preserve">m) to account for cancellations to theatre. To discuss with orthopaedic registrar regarding timing of DVT prophylaxis if surgery is completed after-hours (after 1700).  </w:t>
            </w:r>
          </w:p>
          <w:p w14:paraId="5A3AAA59" w14:textId="77777777" w:rsidR="003B6051" w:rsidRDefault="003B6051" w:rsidP="003B6051">
            <w:pPr>
              <w:widowControl w:val="0"/>
              <w:pBdr>
                <w:top w:val="nil"/>
                <w:left w:val="nil"/>
                <w:bottom w:val="nil"/>
                <w:right w:val="nil"/>
                <w:between w:val="nil"/>
              </w:pBdr>
              <w:tabs>
                <w:tab w:val="left" w:pos="680"/>
              </w:tabs>
              <w:ind w:left="680" w:hanging="680"/>
              <w:rPr>
                <w:rFonts w:eastAsia="Arial" w:cs="Arial"/>
                <w:color w:val="000000"/>
                <w:szCs w:val="18"/>
              </w:rPr>
            </w:pPr>
          </w:p>
          <w:p w14:paraId="17A60714" w14:textId="77777777" w:rsidR="003B6051" w:rsidRPr="00557AEB" w:rsidRDefault="007708D3" w:rsidP="003B6051">
            <w:pPr>
              <w:pStyle w:val="Heading3"/>
              <w:rPr>
                <w:sz w:val="19"/>
              </w:rPr>
            </w:pPr>
            <w:r w:rsidRPr="00557AEB">
              <w:rPr>
                <w:sz w:val="19"/>
              </w:rPr>
              <w:t>7.2.7  Goals of Care</w:t>
            </w:r>
          </w:p>
          <w:p w14:paraId="576A4F93" w14:textId="77777777" w:rsidR="003B6051" w:rsidRDefault="007708D3" w:rsidP="003B6051">
            <w:pPr>
              <w:widowControl w:val="0"/>
              <w:numPr>
                <w:ilvl w:val="0"/>
                <w:numId w:val="1"/>
              </w:numPr>
              <w:pBdr>
                <w:top w:val="nil"/>
                <w:left w:val="nil"/>
                <w:bottom w:val="nil"/>
                <w:right w:val="nil"/>
                <w:between w:val="nil"/>
              </w:pBdr>
              <w:ind w:left="720"/>
              <w:rPr>
                <w:rFonts w:eastAsia="Arial" w:cs="Arial"/>
                <w:color w:val="000000"/>
                <w:szCs w:val="18"/>
              </w:rPr>
            </w:pPr>
            <w:r>
              <w:rPr>
                <w:rFonts w:eastAsia="Arial" w:cs="Arial"/>
                <w:color w:val="000000"/>
                <w:szCs w:val="18"/>
              </w:rPr>
              <w:t xml:space="preserve">Goals of care should be discussed with the </w:t>
            </w:r>
            <w:r>
              <w:rPr>
                <w:rFonts w:eastAsia="Arial" w:cs="Arial"/>
                <w:color w:val="000000"/>
                <w:szCs w:val="18"/>
              </w:rPr>
              <w:t>patient/medical treatment decision maker as soon as possible to identify and document any treatment limitations in the Resuscitation Plan in accordance with the Resuscitation Planning procedure.</w:t>
            </w:r>
          </w:p>
          <w:p w14:paraId="247B94EB" w14:textId="77777777" w:rsidR="003B6051" w:rsidRDefault="003B6051" w:rsidP="003B6051"/>
          <w:p w14:paraId="340CBF08" w14:textId="77777777" w:rsidR="003B6051" w:rsidRDefault="007708D3" w:rsidP="003B6051">
            <w:pPr>
              <w:widowControl w:val="0"/>
              <w:pBdr>
                <w:top w:val="single" w:sz="12" w:space="1" w:color="000000"/>
                <w:left w:val="single" w:sz="12" w:space="4" w:color="000000"/>
                <w:bottom w:val="single" w:sz="12" w:space="1" w:color="000000"/>
                <w:right w:val="single" w:sz="12" w:space="4" w:color="000000"/>
                <w:between w:val="nil"/>
              </w:pBdr>
              <w:shd w:val="clear" w:color="auto" w:fill="FBD5B5"/>
              <w:tabs>
                <w:tab w:val="left" w:pos="1253"/>
              </w:tabs>
              <w:ind w:left="2342" w:right="595" w:hanging="1622"/>
              <w:rPr>
                <w:rFonts w:eastAsia="Arial" w:cs="Arial"/>
                <w:color w:val="000000"/>
                <w:szCs w:val="18"/>
              </w:rPr>
            </w:pPr>
            <w:r>
              <w:rPr>
                <w:rFonts w:eastAsia="Arial" w:cs="Arial"/>
                <w:b/>
                <w:color w:val="000000"/>
                <w:szCs w:val="18"/>
              </w:rPr>
              <w:t>Quality indicator:</w:t>
            </w:r>
            <w:r>
              <w:rPr>
                <w:rFonts w:eastAsia="Arial" w:cs="Arial"/>
                <w:color w:val="000000"/>
                <w:szCs w:val="18"/>
              </w:rPr>
              <w:t xml:space="preserve">  All patients with a hip fracture have a completed goals of care form within 24 hours of admission, with the expectation that these will be completed prior to theatre unless extenuating circumstances apply.</w:t>
            </w:r>
          </w:p>
          <w:p w14:paraId="68097091" w14:textId="77777777" w:rsidR="003B6051" w:rsidRDefault="003B6051" w:rsidP="003B6051">
            <w:pPr>
              <w:widowControl w:val="0"/>
              <w:pBdr>
                <w:top w:val="nil"/>
                <w:left w:val="nil"/>
                <w:bottom w:val="nil"/>
                <w:right w:val="nil"/>
                <w:between w:val="nil"/>
              </w:pBdr>
              <w:rPr>
                <w:rFonts w:eastAsia="Arial" w:cs="Arial"/>
                <w:color w:val="000000"/>
                <w:szCs w:val="18"/>
              </w:rPr>
            </w:pPr>
          </w:p>
          <w:p w14:paraId="4D3062A3" w14:textId="77777777" w:rsidR="003B6051" w:rsidRPr="00F9692A" w:rsidRDefault="007708D3" w:rsidP="003B6051">
            <w:pPr>
              <w:pStyle w:val="Heading2"/>
              <w:tabs>
                <w:tab w:val="clear" w:pos="680"/>
              </w:tabs>
              <w:rPr>
                <w:rFonts w:cs="Arial"/>
                <w:sz w:val="21"/>
              </w:rPr>
            </w:pPr>
            <w:r w:rsidRPr="00F9692A">
              <w:rPr>
                <w:rFonts w:cs="Arial"/>
                <w:sz w:val="21"/>
              </w:rPr>
              <w:t>7.3  Operative Management</w:t>
            </w:r>
          </w:p>
          <w:p w14:paraId="5444D9A3" w14:textId="77777777" w:rsidR="003B6051" w:rsidRPr="00557AEB" w:rsidRDefault="007708D3" w:rsidP="003B6051">
            <w:pPr>
              <w:pStyle w:val="Heading3"/>
              <w:rPr>
                <w:sz w:val="19"/>
              </w:rPr>
            </w:pPr>
            <w:r w:rsidRPr="00557AEB">
              <w:rPr>
                <w:sz w:val="19"/>
              </w:rPr>
              <w:t>7.3.1  Surgery</w:t>
            </w:r>
          </w:p>
          <w:p w14:paraId="705E148F" w14:textId="77777777" w:rsidR="003B6051" w:rsidRDefault="007708D3" w:rsidP="003B6051">
            <w:pPr>
              <w:widowControl w:val="0"/>
              <w:numPr>
                <w:ilvl w:val="0"/>
                <w:numId w:val="1"/>
              </w:numPr>
              <w:pBdr>
                <w:top w:val="nil"/>
                <w:left w:val="nil"/>
                <w:bottom w:val="nil"/>
                <w:right w:val="nil"/>
                <w:between w:val="nil"/>
              </w:pBdr>
              <w:ind w:left="720"/>
              <w:rPr>
                <w:rFonts w:eastAsia="Arial" w:cs="Arial"/>
                <w:color w:val="000000"/>
                <w:szCs w:val="18"/>
              </w:rPr>
            </w:pPr>
            <w:r>
              <w:rPr>
                <w:rFonts w:eastAsia="Arial" w:cs="Arial"/>
                <w:color w:val="000000"/>
                <w:szCs w:val="18"/>
              </w:rPr>
              <w:t>Operative intervention should be undertaken within 48 hours of hip fracture diagnosis unless:</w:t>
            </w:r>
          </w:p>
          <w:p w14:paraId="6447A3B0" w14:textId="77777777" w:rsidR="003B6051" w:rsidRDefault="007708D3" w:rsidP="003B6051">
            <w:pPr>
              <w:widowControl w:val="0"/>
              <w:numPr>
                <w:ilvl w:val="0"/>
                <w:numId w:val="3"/>
              </w:numPr>
              <w:pBdr>
                <w:top w:val="nil"/>
                <w:left w:val="nil"/>
                <w:bottom w:val="nil"/>
                <w:right w:val="nil"/>
                <w:between w:val="nil"/>
              </w:pBdr>
              <w:rPr>
                <w:rFonts w:eastAsia="Arial" w:cs="Arial"/>
                <w:color w:val="000000"/>
                <w:szCs w:val="18"/>
              </w:rPr>
            </w:pPr>
            <w:r>
              <w:rPr>
                <w:rFonts w:eastAsia="Arial" w:cs="Arial"/>
                <w:color w:val="000000"/>
                <w:szCs w:val="18"/>
              </w:rPr>
              <w:t>The patient/medical treatment decision maker reasonably refuses consent;</w:t>
            </w:r>
          </w:p>
          <w:p w14:paraId="2B5F8CF3" w14:textId="77777777" w:rsidR="003B6051" w:rsidRDefault="007708D3" w:rsidP="003B6051">
            <w:pPr>
              <w:widowControl w:val="0"/>
              <w:numPr>
                <w:ilvl w:val="0"/>
                <w:numId w:val="3"/>
              </w:numPr>
              <w:pBdr>
                <w:top w:val="nil"/>
                <w:left w:val="nil"/>
                <w:bottom w:val="nil"/>
                <w:right w:val="nil"/>
                <w:between w:val="nil"/>
              </w:pBdr>
              <w:rPr>
                <w:rFonts w:eastAsia="Arial" w:cs="Arial"/>
                <w:color w:val="000000"/>
                <w:szCs w:val="18"/>
              </w:rPr>
            </w:pPr>
            <w:r>
              <w:rPr>
                <w:rFonts w:eastAsia="Arial" w:cs="Arial"/>
                <w:color w:val="000000"/>
                <w:szCs w:val="18"/>
              </w:rPr>
              <w:t>The patient is not fit for surgery; or</w:t>
            </w:r>
          </w:p>
          <w:p w14:paraId="0BAF2358" w14:textId="77777777" w:rsidR="003B6051" w:rsidRDefault="007708D3" w:rsidP="003B6051">
            <w:pPr>
              <w:widowControl w:val="0"/>
              <w:numPr>
                <w:ilvl w:val="0"/>
                <w:numId w:val="3"/>
              </w:numPr>
              <w:pBdr>
                <w:top w:val="nil"/>
                <w:left w:val="nil"/>
                <w:bottom w:val="nil"/>
                <w:right w:val="nil"/>
                <w:between w:val="nil"/>
              </w:pBdr>
              <w:rPr>
                <w:rFonts w:eastAsia="Arial" w:cs="Arial"/>
                <w:color w:val="000000"/>
                <w:szCs w:val="18"/>
              </w:rPr>
            </w:pPr>
            <w:r>
              <w:rPr>
                <w:rFonts w:eastAsia="Arial" w:cs="Arial"/>
                <w:color w:val="000000"/>
                <w:szCs w:val="18"/>
              </w:rPr>
              <w:t>Surgery is not indicated (e.g. stable peri-prosthe</w:t>
            </w:r>
            <w:r>
              <w:rPr>
                <w:rFonts w:eastAsia="Arial" w:cs="Arial"/>
                <w:color w:val="000000"/>
                <w:szCs w:val="18"/>
              </w:rPr>
              <w:t>tic fracture).</w:t>
            </w:r>
          </w:p>
          <w:p w14:paraId="58EB8B02" w14:textId="77777777" w:rsidR="003B6051" w:rsidRDefault="003B6051" w:rsidP="003B6051"/>
          <w:p w14:paraId="5F40B3BA" w14:textId="77777777" w:rsidR="003B6051" w:rsidRDefault="007708D3" w:rsidP="003B6051">
            <w:pPr>
              <w:widowControl w:val="0"/>
              <w:pBdr>
                <w:top w:val="single" w:sz="12" w:space="1" w:color="000000"/>
                <w:left w:val="single" w:sz="12" w:space="4" w:color="000000"/>
                <w:bottom w:val="single" w:sz="12" w:space="1" w:color="000000"/>
                <w:right w:val="single" w:sz="12" w:space="4" w:color="000000"/>
                <w:between w:val="nil"/>
              </w:pBdr>
              <w:shd w:val="clear" w:color="auto" w:fill="FBD5B5"/>
              <w:tabs>
                <w:tab w:val="left" w:pos="2243"/>
              </w:tabs>
              <w:ind w:left="2250" w:right="596" w:hanging="1620"/>
              <w:rPr>
                <w:rFonts w:eastAsia="Arial" w:cs="Arial"/>
                <w:color w:val="000000"/>
                <w:szCs w:val="18"/>
              </w:rPr>
            </w:pPr>
            <w:r>
              <w:rPr>
                <w:rFonts w:eastAsia="Arial" w:cs="Arial"/>
                <w:b/>
                <w:color w:val="000000"/>
                <w:szCs w:val="18"/>
              </w:rPr>
              <w:t>Quality indicator:</w:t>
            </w:r>
            <w:r>
              <w:rPr>
                <w:rFonts w:eastAsia="Arial" w:cs="Arial"/>
                <w:color w:val="000000"/>
                <w:szCs w:val="18"/>
              </w:rPr>
              <w:t xml:space="preserve">  At least 90 per cent of patients with a hip fracture receive surgery within 48 hours of hip fracture diagnosis. </w:t>
            </w:r>
          </w:p>
          <w:p w14:paraId="503BC4E8" w14:textId="77777777" w:rsidR="003B6051" w:rsidRDefault="003B6051" w:rsidP="003B6051">
            <w:pPr>
              <w:widowControl w:val="0"/>
              <w:pBdr>
                <w:top w:val="nil"/>
                <w:left w:val="nil"/>
                <w:bottom w:val="nil"/>
                <w:right w:val="nil"/>
                <w:between w:val="nil"/>
              </w:pBdr>
              <w:tabs>
                <w:tab w:val="left" w:pos="680"/>
              </w:tabs>
              <w:rPr>
                <w:rFonts w:eastAsia="Arial" w:cs="Arial"/>
                <w:color w:val="000000"/>
                <w:szCs w:val="18"/>
              </w:rPr>
            </w:pPr>
          </w:p>
          <w:p w14:paraId="1FFDC60F" w14:textId="77777777" w:rsidR="003B6051" w:rsidRPr="00557AEB" w:rsidRDefault="007708D3" w:rsidP="003B6051">
            <w:pPr>
              <w:pStyle w:val="Heading3"/>
              <w:rPr>
                <w:sz w:val="19"/>
              </w:rPr>
            </w:pPr>
            <w:r w:rsidRPr="00557AEB">
              <w:rPr>
                <w:sz w:val="19"/>
              </w:rPr>
              <w:t>7.3.2  Intra-operative Nerve Block</w:t>
            </w:r>
          </w:p>
          <w:p w14:paraId="65A3F5C1" w14:textId="77777777" w:rsidR="003B6051" w:rsidRDefault="007708D3" w:rsidP="003B6051">
            <w:pPr>
              <w:widowControl w:val="0"/>
              <w:numPr>
                <w:ilvl w:val="0"/>
                <w:numId w:val="1"/>
              </w:numPr>
              <w:pBdr>
                <w:top w:val="nil"/>
                <w:left w:val="nil"/>
                <w:bottom w:val="nil"/>
                <w:right w:val="nil"/>
                <w:between w:val="nil"/>
              </w:pBdr>
              <w:ind w:left="720"/>
              <w:rPr>
                <w:rFonts w:eastAsia="Arial" w:cs="Arial"/>
                <w:color w:val="000000"/>
                <w:szCs w:val="18"/>
              </w:rPr>
            </w:pPr>
            <w:r>
              <w:rPr>
                <w:rFonts w:eastAsia="Arial" w:cs="Arial"/>
                <w:color w:val="000000"/>
                <w:szCs w:val="18"/>
              </w:rPr>
              <w:t>Intra-operative fascia iliaca</w:t>
            </w:r>
            <w:r>
              <w:rPr>
                <w:rFonts w:eastAsia="Arial" w:cs="Arial"/>
                <w:color w:val="000000"/>
                <w:szCs w:val="18"/>
              </w:rPr>
              <w:t xml:space="preserve"> nerve blocks should be considered for all patients undergoing operative intervention of a hip fracture.</w:t>
            </w:r>
          </w:p>
          <w:p w14:paraId="5E17D1D1" w14:textId="77777777" w:rsidR="003B6051" w:rsidRPr="00F9692A" w:rsidRDefault="003B6051" w:rsidP="003B6051"/>
          <w:p w14:paraId="52D91D8F" w14:textId="77777777" w:rsidR="003B6051" w:rsidRPr="00F9692A" w:rsidRDefault="007708D3" w:rsidP="003B6051">
            <w:pPr>
              <w:pStyle w:val="Heading2"/>
              <w:tabs>
                <w:tab w:val="clear" w:pos="680"/>
              </w:tabs>
              <w:rPr>
                <w:rFonts w:cs="Arial"/>
                <w:sz w:val="21"/>
              </w:rPr>
            </w:pPr>
            <w:r w:rsidRPr="00F9692A">
              <w:rPr>
                <w:rFonts w:cs="Arial"/>
                <w:sz w:val="21"/>
              </w:rPr>
              <w:t>7.4  Post-operative Management</w:t>
            </w:r>
          </w:p>
          <w:p w14:paraId="6E4FE098" w14:textId="77777777" w:rsidR="003B6051" w:rsidRPr="00557AEB" w:rsidRDefault="007708D3" w:rsidP="003B6051">
            <w:pPr>
              <w:pStyle w:val="Heading3"/>
              <w:rPr>
                <w:sz w:val="19"/>
              </w:rPr>
            </w:pPr>
            <w:r w:rsidRPr="00557AEB">
              <w:rPr>
                <w:sz w:val="19"/>
              </w:rPr>
              <w:t>7.4.1  Pain Assessment and Management</w:t>
            </w:r>
          </w:p>
          <w:p w14:paraId="09682BC5" w14:textId="77777777" w:rsidR="003B6051" w:rsidRDefault="007708D3" w:rsidP="003B6051">
            <w:pPr>
              <w:widowControl w:val="0"/>
              <w:numPr>
                <w:ilvl w:val="0"/>
                <w:numId w:val="1"/>
              </w:numPr>
              <w:pBdr>
                <w:top w:val="nil"/>
                <w:left w:val="nil"/>
                <w:bottom w:val="nil"/>
                <w:right w:val="nil"/>
                <w:between w:val="nil"/>
              </w:pBdr>
              <w:ind w:left="720"/>
              <w:rPr>
                <w:rFonts w:eastAsia="Arial" w:cs="Arial"/>
                <w:color w:val="000000"/>
                <w:szCs w:val="18"/>
              </w:rPr>
            </w:pPr>
            <w:r>
              <w:rPr>
                <w:rFonts w:eastAsia="Arial" w:cs="Arial"/>
                <w:color w:val="000000"/>
                <w:szCs w:val="18"/>
              </w:rPr>
              <w:t xml:space="preserve">Pain should continue to be assessed and managed as per </w:t>
            </w:r>
            <w:r>
              <w:rPr>
                <w:rFonts w:eastAsia="Arial" w:cs="Arial"/>
                <w:i/>
                <w:color w:val="000000"/>
                <w:szCs w:val="18"/>
              </w:rPr>
              <w:t>Section 7.1.1</w:t>
            </w:r>
            <w:r>
              <w:rPr>
                <w:rFonts w:eastAsia="Arial" w:cs="Arial"/>
                <w:color w:val="000000"/>
                <w:szCs w:val="18"/>
              </w:rPr>
              <w:t xml:space="preserve">. </w:t>
            </w:r>
          </w:p>
          <w:p w14:paraId="7C63E47A" w14:textId="77777777" w:rsidR="003B6051" w:rsidRDefault="007708D3" w:rsidP="003B6051">
            <w:pPr>
              <w:widowControl w:val="0"/>
              <w:numPr>
                <w:ilvl w:val="0"/>
                <w:numId w:val="1"/>
              </w:numPr>
              <w:pBdr>
                <w:top w:val="nil"/>
                <w:left w:val="nil"/>
                <w:bottom w:val="nil"/>
                <w:right w:val="nil"/>
                <w:between w:val="nil"/>
              </w:pBdr>
              <w:ind w:left="720"/>
              <w:rPr>
                <w:rFonts w:eastAsia="Arial" w:cs="Arial"/>
                <w:color w:val="000000"/>
                <w:szCs w:val="18"/>
              </w:rPr>
            </w:pPr>
            <w:r>
              <w:rPr>
                <w:rFonts w:eastAsia="Arial" w:cs="Arial"/>
                <w:color w:val="000000"/>
                <w:szCs w:val="18"/>
              </w:rPr>
              <w:t xml:space="preserve">Once pain </w:t>
            </w:r>
            <w:r>
              <w:rPr>
                <w:rFonts w:eastAsia="Arial" w:cs="Arial"/>
                <w:color w:val="000000"/>
                <w:szCs w:val="18"/>
              </w:rPr>
              <w:t>has settled, the frequency of pain observations can be adjusted as clinically indicated.</w:t>
            </w:r>
          </w:p>
          <w:p w14:paraId="1F411A34" w14:textId="77777777" w:rsidR="003B6051" w:rsidRDefault="003B6051" w:rsidP="003B6051">
            <w:pPr>
              <w:widowControl w:val="0"/>
              <w:tabs>
                <w:tab w:val="left" w:pos="680"/>
              </w:tabs>
              <w:ind w:left="680" w:hanging="680"/>
            </w:pPr>
          </w:p>
          <w:p w14:paraId="1F96F65D" w14:textId="77777777" w:rsidR="003B6051" w:rsidRPr="00557AEB" w:rsidRDefault="007708D3" w:rsidP="003B6051">
            <w:pPr>
              <w:pStyle w:val="Heading3"/>
              <w:rPr>
                <w:sz w:val="19"/>
              </w:rPr>
            </w:pPr>
            <w:r w:rsidRPr="00557AEB">
              <w:rPr>
                <w:sz w:val="19"/>
              </w:rPr>
              <w:t>7.4.2  Mobilisation</w:t>
            </w:r>
          </w:p>
          <w:p w14:paraId="7D760D79" w14:textId="77777777" w:rsidR="003B6051" w:rsidRDefault="007708D3" w:rsidP="003B6051">
            <w:pPr>
              <w:numPr>
                <w:ilvl w:val="0"/>
                <w:numId w:val="18"/>
              </w:numPr>
            </w:pPr>
            <w:r>
              <w:t>All clinicians involved in care of the patient post hip fracture will advocate for, and encourage early mobilisation.</w:t>
            </w:r>
          </w:p>
          <w:p w14:paraId="34EFC3EF" w14:textId="77777777" w:rsidR="003B6051" w:rsidRDefault="007708D3" w:rsidP="003B6051">
            <w:pPr>
              <w:numPr>
                <w:ilvl w:val="0"/>
                <w:numId w:val="18"/>
              </w:numPr>
            </w:pPr>
            <w:r>
              <w:t>All patients will be given t</w:t>
            </w:r>
            <w:r>
              <w:t>he opportunity to mobilise within 24 hours of surgery without restrictions on weight bearing. This may be initiated by Allied Health, Nursing or Medical staff.</w:t>
            </w:r>
          </w:p>
          <w:p w14:paraId="6D3C6DBB" w14:textId="77777777" w:rsidR="003B6051" w:rsidRDefault="007708D3" w:rsidP="003B6051">
            <w:pPr>
              <w:numPr>
                <w:ilvl w:val="0"/>
                <w:numId w:val="18"/>
              </w:numPr>
            </w:pPr>
            <w:r>
              <w:t xml:space="preserve">If the patient is unable to mobilise, the reasons for this will be clearly documented. </w:t>
            </w:r>
          </w:p>
          <w:p w14:paraId="424A8AD5" w14:textId="77777777" w:rsidR="003B6051" w:rsidRDefault="007708D3" w:rsidP="003B6051">
            <w:pPr>
              <w:numPr>
                <w:ilvl w:val="0"/>
                <w:numId w:val="18"/>
              </w:numPr>
            </w:pPr>
            <w:r>
              <w:t>An opportunity for mobilisation will be provided every day the patient is in hospital. An opportunity for mobilisation can include sitting the patient on the edge of th</w:t>
            </w:r>
            <w:r>
              <w:t>e bed, sit to stand practice, sitting out of bed, or walking.</w:t>
            </w:r>
          </w:p>
          <w:p w14:paraId="40BCD66F" w14:textId="77777777" w:rsidR="003B6051" w:rsidRDefault="003B6051" w:rsidP="003B6051"/>
          <w:p w14:paraId="277B3DFD" w14:textId="77777777" w:rsidR="003B6051" w:rsidRDefault="007708D3" w:rsidP="003B6051">
            <w:pPr>
              <w:pBdr>
                <w:top w:val="single" w:sz="12" w:space="1" w:color="000000"/>
                <w:left w:val="single" w:sz="12" w:space="4" w:color="000000"/>
                <w:bottom w:val="single" w:sz="12" w:space="1" w:color="000000"/>
                <w:right w:val="single" w:sz="12" w:space="4" w:color="000000"/>
              </w:pBdr>
              <w:shd w:val="clear" w:color="auto" w:fill="FBD5B5"/>
              <w:tabs>
                <w:tab w:val="left" w:pos="2779"/>
              </w:tabs>
              <w:ind w:left="2340" w:right="596" w:hanging="1620"/>
            </w:pPr>
            <w:r>
              <w:rPr>
                <w:b/>
              </w:rPr>
              <w:t>Quality indicator:</w:t>
            </w:r>
            <w:r>
              <w:t xml:space="preserve">  100% of patients with a hip fracture will be provided with the opportunity to mobilise within 24 hours of surgery.</w:t>
            </w:r>
          </w:p>
          <w:p w14:paraId="3E05C856" w14:textId="77777777" w:rsidR="003B6051" w:rsidRDefault="003B6051" w:rsidP="003B6051">
            <w:pPr>
              <w:widowControl w:val="0"/>
              <w:tabs>
                <w:tab w:val="left" w:pos="680"/>
              </w:tabs>
              <w:ind w:left="680" w:hanging="680"/>
            </w:pPr>
          </w:p>
          <w:p w14:paraId="7EE35245" w14:textId="77777777" w:rsidR="003B6051" w:rsidRPr="00557AEB" w:rsidRDefault="007708D3" w:rsidP="003B6051">
            <w:pPr>
              <w:pStyle w:val="Heading3"/>
              <w:rPr>
                <w:sz w:val="19"/>
              </w:rPr>
            </w:pPr>
            <w:r w:rsidRPr="00557AEB">
              <w:rPr>
                <w:sz w:val="19"/>
              </w:rPr>
              <w:t>7.4.3  Minimising Fracture and Falls Risk</w:t>
            </w:r>
          </w:p>
          <w:p w14:paraId="71D828C2" w14:textId="77777777" w:rsidR="003B6051" w:rsidRDefault="007708D3" w:rsidP="003B6051">
            <w:pPr>
              <w:widowControl w:val="0"/>
              <w:numPr>
                <w:ilvl w:val="0"/>
                <w:numId w:val="1"/>
              </w:numPr>
              <w:pBdr>
                <w:top w:val="nil"/>
                <w:left w:val="nil"/>
                <w:bottom w:val="nil"/>
                <w:right w:val="nil"/>
                <w:between w:val="nil"/>
              </w:pBdr>
              <w:ind w:left="720"/>
              <w:rPr>
                <w:rFonts w:eastAsia="Arial" w:cs="Arial"/>
                <w:color w:val="000000"/>
                <w:szCs w:val="18"/>
              </w:rPr>
            </w:pPr>
            <w:r>
              <w:rPr>
                <w:rFonts w:eastAsia="Arial" w:cs="Arial"/>
                <w:color w:val="000000"/>
                <w:szCs w:val="18"/>
              </w:rPr>
              <w:t xml:space="preserve">In order to </w:t>
            </w:r>
            <w:r>
              <w:rPr>
                <w:rFonts w:eastAsia="Arial" w:cs="Arial"/>
                <w:color w:val="000000"/>
                <w:szCs w:val="18"/>
              </w:rPr>
              <w:t>reduce the risk of future fractures, assessment of falls risk and bone health should be undertaken during the hospital admission (either the acute or sub-acute phase of the admission).</w:t>
            </w:r>
          </w:p>
          <w:p w14:paraId="0CA098E2" w14:textId="77777777" w:rsidR="003B6051" w:rsidRDefault="003B6051" w:rsidP="003B6051">
            <w:pPr>
              <w:widowControl w:val="0"/>
              <w:pBdr>
                <w:top w:val="nil"/>
                <w:left w:val="nil"/>
                <w:bottom w:val="nil"/>
                <w:right w:val="nil"/>
                <w:between w:val="nil"/>
              </w:pBdr>
            </w:pPr>
          </w:p>
          <w:p w14:paraId="0815DA11" w14:textId="77777777" w:rsidR="003B6051" w:rsidRDefault="007708D3" w:rsidP="003B6051">
            <w:pPr>
              <w:widowControl w:val="0"/>
              <w:pBdr>
                <w:top w:val="single" w:sz="12" w:space="1" w:color="000000"/>
                <w:left w:val="single" w:sz="12" w:space="4" w:color="000000"/>
                <w:bottom w:val="single" w:sz="12" w:space="1" w:color="000000"/>
                <w:right w:val="single" w:sz="12" w:space="4" w:color="000000"/>
                <w:between w:val="nil"/>
              </w:pBdr>
              <w:shd w:val="clear" w:color="auto" w:fill="FBD5B5"/>
              <w:tabs>
                <w:tab w:val="left" w:pos="623"/>
              </w:tabs>
              <w:ind w:left="2250" w:right="510" w:hanging="1530"/>
              <w:rPr>
                <w:rFonts w:eastAsia="Arial" w:cs="Arial"/>
                <w:color w:val="000000"/>
                <w:szCs w:val="18"/>
              </w:rPr>
            </w:pPr>
            <w:r>
              <w:rPr>
                <w:rFonts w:eastAsia="Arial" w:cs="Arial"/>
                <w:b/>
                <w:color w:val="000000"/>
                <w:szCs w:val="18"/>
              </w:rPr>
              <w:t>Quality indicator:</w:t>
            </w:r>
            <w:r>
              <w:rPr>
                <w:rFonts w:eastAsia="Arial" w:cs="Arial"/>
                <w:color w:val="000000"/>
                <w:szCs w:val="18"/>
              </w:rPr>
              <w:t xml:space="preserve">  All patients should undergo bone health optimisati</w:t>
            </w:r>
            <w:r>
              <w:rPr>
                <w:rFonts w:eastAsia="Arial" w:cs="Arial"/>
                <w:color w:val="000000"/>
                <w:szCs w:val="18"/>
              </w:rPr>
              <w:t>on, including appropriate</w:t>
            </w:r>
            <w:r>
              <w:t xml:space="preserve"> </w:t>
            </w:r>
            <w:r>
              <w:rPr>
                <w:rFonts w:eastAsia="Arial" w:cs="Arial"/>
                <w:color w:val="000000"/>
                <w:szCs w:val="18"/>
              </w:rPr>
              <w:t>nutritional/lifestyle advice and screening investigations, and a plan should be made for prescription of an anti-resorptive agent as soon as medically indicated, unless contraindications apply.</w:t>
            </w:r>
          </w:p>
          <w:p w14:paraId="495B67FC" w14:textId="77777777" w:rsidR="003B6051" w:rsidRDefault="003B6051" w:rsidP="003B6051">
            <w:pPr>
              <w:pStyle w:val="Heading3"/>
              <w:keepLines/>
              <w:spacing w:before="0" w:after="0"/>
            </w:pPr>
          </w:p>
          <w:p w14:paraId="52B11606" w14:textId="77777777" w:rsidR="003B6051" w:rsidRPr="00557AEB" w:rsidRDefault="007708D3" w:rsidP="003B6051">
            <w:pPr>
              <w:pStyle w:val="Heading3"/>
              <w:rPr>
                <w:sz w:val="19"/>
              </w:rPr>
            </w:pPr>
            <w:r w:rsidRPr="00557AEB">
              <w:rPr>
                <w:sz w:val="19"/>
              </w:rPr>
              <w:t xml:space="preserve">7.4.4 </w:t>
            </w:r>
            <w:r>
              <w:rPr>
                <w:sz w:val="19"/>
              </w:rPr>
              <w:t xml:space="preserve"> </w:t>
            </w:r>
            <w:r w:rsidRPr="00557AEB">
              <w:rPr>
                <w:sz w:val="19"/>
              </w:rPr>
              <w:t>Rehabilitation</w:t>
            </w:r>
            <w:r w:rsidRPr="00557AEB">
              <w:rPr>
                <w:sz w:val="19"/>
              </w:rPr>
              <w:t xml:space="preserve"> Assessment</w:t>
            </w:r>
          </w:p>
          <w:p w14:paraId="6EA6B819" w14:textId="77777777" w:rsidR="003B6051" w:rsidRDefault="007708D3" w:rsidP="003B6051">
            <w:pPr>
              <w:numPr>
                <w:ilvl w:val="0"/>
                <w:numId w:val="17"/>
              </w:numPr>
              <w:ind w:left="1035"/>
            </w:pPr>
            <w:r>
              <w:t>All patients post hip fracture will be assessed for suitability for rehabilitation, with consideration the criteria outlined below.</w:t>
            </w:r>
          </w:p>
          <w:p w14:paraId="0CF181B5" w14:textId="77777777" w:rsidR="003B6051" w:rsidRDefault="007708D3" w:rsidP="003B6051">
            <w:pPr>
              <w:numPr>
                <w:ilvl w:val="0"/>
                <w:numId w:val="17"/>
              </w:numPr>
              <w:ind w:left="1035"/>
            </w:pPr>
            <w:r>
              <w:t>Assessment of suitability for rehabilitation assessment will begin as early as possible in order to facilitate a</w:t>
            </w:r>
            <w:r>
              <w:t>ppropriate discharge planning with documentation completed by the Orthogeriatric team, with input from the wider multidisciplinary team.</w:t>
            </w:r>
          </w:p>
          <w:p w14:paraId="2809C284" w14:textId="77777777" w:rsidR="003B6051" w:rsidRDefault="007708D3" w:rsidP="003B6051">
            <w:pPr>
              <w:numPr>
                <w:ilvl w:val="0"/>
                <w:numId w:val="17"/>
              </w:numPr>
              <w:ind w:left="1035"/>
            </w:pPr>
            <w:r>
              <w:t>The multidisciplinary team will document patient goals and discharge recommendations to facilitate a timely and accurat</w:t>
            </w:r>
            <w:r>
              <w:t xml:space="preserve">e rehabilitation assessment.  </w:t>
            </w:r>
          </w:p>
          <w:p w14:paraId="1977F98D" w14:textId="77777777" w:rsidR="003B6051" w:rsidRDefault="007708D3" w:rsidP="003B6051">
            <w:pPr>
              <w:numPr>
                <w:ilvl w:val="0"/>
                <w:numId w:val="17"/>
              </w:numPr>
              <w:ind w:left="1035"/>
            </w:pPr>
            <w:r>
              <w:t xml:space="preserve">Delivery of rehabilitation may occur in an inpatient or outpatient setting. </w:t>
            </w:r>
          </w:p>
          <w:p w14:paraId="2AAD6785" w14:textId="77777777" w:rsidR="003B6051" w:rsidRDefault="007708D3" w:rsidP="003B6051">
            <w:pPr>
              <w:numPr>
                <w:ilvl w:val="0"/>
                <w:numId w:val="17"/>
              </w:numPr>
              <w:ind w:left="1035"/>
            </w:pPr>
            <w:r>
              <w:t>Suitability for rehabilitation will involve consideration and documentation of the following:</w:t>
            </w:r>
          </w:p>
          <w:p w14:paraId="5969363A" w14:textId="77777777" w:rsidR="003B6051" w:rsidRDefault="007708D3" w:rsidP="003B6051">
            <w:pPr>
              <w:numPr>
                <w:ilvl w:val="0"/>
                <w:numId w:val="13"/>
              </w:numPr>
              <w:ind w:left="1440"/>
            </w:pPr>
            <w:r>
              <w:t>Medical stability.</w:t>
            </w:r>
          </w:p>
          <w:p w14:paraId="345231E7" w14:textId="77777777" w:rsidR="003B6051" w:rsidRDefault="007708D3" w:rsidP="003B6051">
            <w:pPr>
              <w:numPr>
                <w:ilvl w:val="0"/>
                <w:numId w:val="13"/>
              </w:numPr>
              <w:ind w:left="1440"/>
            </w:pPr>
            <w:r>
              <w:t>Ability to participate in inpatient</w:t>
            </w:r>
            <w:r>
              <w:t xml:space="preserve"> rehabilitation (slow stream rehabilitation, also known as GEM, or fast stream rehabilitation).</w:t>
            </w:r>
          </w:p>
          <w:p w14:paraId="505134CC" w14:textId="77777777" w:rsidR="003B6051" w:rsidRDefault="007708D3" w:rsidP="003B6051">
            <w:pPr>
              <w:numPr>
                <w:ilvl w:val="0"/>
                <w:numId w:val="13"/>
              </w:numPr>
              <w:ind w:left="1440"/>
            </w:pPr>
            <w:r>
              <w:t xml:space="preserve">Rehabilitation goals with timeframes: </w:t>
            </w:r>
          </w:p>
          <w:p w14:paraId="566353B2" w14:textId="77777777" w:rsidR="003B6051" w:rsidRDefault="007708D3" w:rsidP="003B6051">
            <w:pPr>
              <w:numPr>
                <w:ilvl w:val="1"/>
                <w:numId w:val="13"/>
              </w:numPr>
              <w:ind w:left="2160"/>
            </w:pPr>
            <w:r>
              <w:t>Determined collaboratively with the patient and or carer;</w:t>
            </w:r>
          </w:p>
          <w:p w14:paraId="3B8EA87C" w14:textId="77777777" w:rsidR="003B6051" w:rsidRDefault="007708D3" w:rsidP="003B6051">
            <w:pPr>
              <w:numPr>
                <w:ilvl w:val="1"/>
                <w:numId w:val="13"/>
              </w:numPr>
              <w:ind w:left="2160"/>
            </w:pPr>
            <w:r>
              <w:t xml:space="preserve">Including medical and functional goals. </w:t>
            </w:r>
          </w:p>
          <w:p w14:paraId="6AE26833" w14:textId="77777777" w:rsidR="003B6051" w:rsidRDefault="007708D3" w:rsidP="003B6051">
            <w:pPr>
              <w:numPr>
                <w:ilvl w:val="0"/>
                <w:numId w:val="13"/>
              </w:numPr>
              <w:ind w:left="1440"/>
            </w:pPr>
            <w:r>
              <w:t xml:space="preserve">Barriers and enablers </w:t>
            </w:r>
            <w:r>
              <w:t xml:space="preserve">to rehabilitation. </w:t>
            </w:r>
          </w:p>
          <w:p w14:paraId="0AC44D7D" w14:textId="77777777" w:rsidR="003B6051" w:rsidRDefault="007708D3" w:rsidP="003B6051">
            <w:pPr>
              <w:numPr>
                <w:ilvl w:val="0"/>
                <w:numId w:val="13"/>
              </w:numPr>
              <w:ind w:left="1440"/>
            </w:pPr>
            <w:r>
              <w:t>Availability of resources in premorbid living setting (eg. access to transport or access to therapy in Residential care).</w:t>
            </w:r>
          </w:p>
          <w:p w14:paraId="27DD69B0" w14:textId="77777777" w:rsidR="003B6051" w:rsidRDefault="007708D3" w:rsidP="003B6051">
            <w:pPr>
              <w:numPr>
                <w:ilvl w:val="0"/>
                <w:numId w:val="13"/>
              </w:numPr>
              <w:ind w:left="1440"/>
            </w:pPr>
            <w:r>
              <w:t>Discussion with the patient, family or carer about expectations and preferences for rehabilitation and recovery.</w:t>
            </w:r>
          </w:p>
          <w:p w14:paraId="742C3E08" w14:textId="77777777" w:rsidR="003B6051" w:rsidRDefault="007708D3" w:rsidP="003B6051">
            <w:pPr>
              <w:numPr>
                <w:ilvl w:val="0"/>
                <w:numId w:val="17"/>
              </w:numPr>
              <w:ind w:left="1035"/>
            </w:pPr>
            <w:r>
              <w:t>E</w:t>
            </w:r>
            <w:r>
              <w:t>ligibility for inpatient rehabilitation includes (but is not limited to):</w:t>
            </w:r>
          </w:p>
          <w:p w14:paraId="6054A27B" w14:textId="77777777" w:rsidR="003B6051" w:rsidRDefault="007708D3" w:rsidP="003B6051">
            <w:pPr>
              <w:numPr>
                <w:ilvl w:val="0"/>
                <w:numId w:val="13"/>
              </w:numPr>
              <w:ind w:left="1440"/>
            </w:pPr>
            <w:r>
              <w:t>Patient is medically stable for transfer to inpatient rehabilitation ward.</w:t>
            </w:r>
          </w:p>
          <w:p w14:paraId="29EA1FFA" w14:textId="77777777" w:rsidR="003B6051" w:rsidRDefault="007708D3" w:rsidP="003B6051">
            <w:pPr>
              <w:numPr>
                <w:ilvl w:val="0"/>
                <w:numId w:val="13"/>
              </w:numPr>
              <w:ind w:left="1440"/>
            </w:pPr>
            <w:r>
              <w:t>Patient is below premorbid level of functional ability.</w:t>
            </w:r>
          </w:p>
          <w:p w14:paraId="15D984C0" w14:textId="77777777" w:rsidR="003B6051" w:rsidRDefault="007708D3" w:rsidP="003B6051">
            <w:pPr>
              <w:numPr>
                <w:ilvl w:val="0"/>
                <w:numId w:val="13"/>
              </w:numPr>
              <w:ind w:left="1440"/>
            </w:pPr>
            <w:r>
              <w:t xml:space="preserve">Patient has clearly documented </w:t>
            </w:r>
            <w:r>
              <w:t>rehabilitation goals.</w:t>
            </w:r>
          </w:p>
          <w:p w14:paraId="54C685CD" w14:textId="77777777" w:rsidR="003B6051" w:rsidRDefault="007708D3" w:rsidP="003B6051">
            <w:pPr>
              <w:numPr>
                <w:ilvl w:val="0"/>
                <w:numId w:val="13"/>
              </w:numPr>
              <w:ind w:left="1440"/>
            </w:pPr>
            <w:r>
              <w:t>Patient can participate in inpatient rehabilitation (slow stream rehabilitation, or fast stream rehabilitation).</w:t>
            </w:r>
          </w:p>
          <w:p w14:paraId="5F07F152" w14:textId="77777777" w:rsidR="003B6051" w:rsidRDefault="007708D3" w:rsidP="003B6051">
            <w:pPr>
              <w:numPr>
                <w:ilvl w:val="0"/>
                <w:numId w:val="13"/>
              </w:numPr>
              <w:ind w:left="1440"/>
            </w:pPr>
            <w:r>
              <w:t>Patient and or family/carer is agreeable to inpatient rehabilitation.</w:t>
            </w:r>
          </w:p>
          <w:p w14:paraId="4EC1CD8D" w14:textId="77777777" w:rsidR="003B6051" w:rsidRDefault="007708D3" w:rsidP="003B6051">
            <w:pPr>
              <w:numPr>
                <w:ilvl w:val="0"/>
                <w:numId w:val="13"/>
              </w:numPr>
              <w:ind w:left="1440"/>
            </w:pPr>
            <w:r>
              <w:t>Expectations of inpatient rehabilitation stay, incl</w:t>
            </w:r>
            <w:r>
              <w:t>uding frequency of therapy and active participation have been discussed with patient and family/carer.</w:t>
            </w:r>
          </w:p>
          <w:p w14:paraId="7BF7703D" w14:textId="77777777" w:rsidR="003B6051" w:rsidRDefault="007708D3" w:rsidP="003B6051">
            <w:pPr>
              <w:numPr>
                <w:ilvl w:val="0"/>
                <w:numId w:val="17"/>
              </w:numPr>
              <w:ind w:left="1035"/>
            </w:pPr>
            <w:r w:rsidRPr="003E1C5C">
              <w:rPr>
                <w:u w:val="single"/>
              </w:rPr>
              <w:t>Note</w:t>
            </w:r>
            <w:r>
              <w:t>: Cognitive impairment, or living in residential aged care, does not preclude consideration for inpatient rehabilitation and factors above will be co</w:t>
            </w:r>
            <w:r>
              <w:t xml:space="preserve">nsidered on a case by case basis.  </w:t>
            </w:r>
          </w:p>
          <w:p w14:paraId="5E99C214" w14:textId="77777777" w:rsidR="003B6051" w:rsidRDefault="003B6051" w:rsidP="003B6051"/>
          <w:p w14:paraId="4BB76516" w14:textId="77777777" w:rsidR="003B6051" w:rsidRDefault="007708D3" w:rsidP="003B6051">
            <w:pPr>
              <w:pBdr>
                <w:top w:val="single" w:sz="12" w:space="1" w:color="000000"/>
                <w:left w:val="single" w:sz="12" w:space="4" w:color="000000"/>
                <w:bottom w:val="single" w:sz="12" w:space="1" w:color="000000"/>
                <w:right w:val="single" w:sz="12" w:space="4" w:color="000000"/>
              </w:pBdr>
              <w:shd w:val="clear" w:color="auto" w:fill="FBD5B5"/>
              <w:tabs>
                <w:tab w:val="left" w:pos="2243"/>
                <w:tab w:val="left" w:pos="2779"/>
              </w:tabs>
              <w:ind w:left="2250" w:right="596" w:hanging="1620"/>
            </w:pPr>
            <w:r>
              <w:rPr>
                <w:b/>
              </w:rPr>
              <w:t>Quality indicator:</w:t>
            </w:r>
            <w:r>
              <w:t xml:space="preserve">  Every patient with a hip fracture will have a documented rehabilitation assessment based on criteria above.</w:t>
            </w:r>
          </w:p>
          <w:p w14:paraId="55ADE571" w14:textId="77777777" w:rsidR="003B6051" w:rsidRDefault="003B6051" w:rsidP="003B6051"/>
          <w:p w14:paraId="0B4801D6" w14:textId="77777777" w:rsidR="003B6051" w:rsidRPr="00557AEB" w:rsidRDefault="007708D3" w:rsidP="003B6051">
            <w:pPr>
              <w:pStyle w:val="Heading3"/>
              <w:rPr>
                <w:sz w:val="19"/>
              </w:rPr>
            </w:pPr>
            <w:r w:rsidRPr="00557AEB">
              <w:rPr>
                <w:sz w:val="19"/>
              </w:rPr>
              <w:t xml:space="preserve">7.4.5  Early Supported Discharge to </w:t>
            </w:r>
            <w:r>
              <w:rPr>
                <w:sz w:val="19"/>
              </w:rPr>
              <w:t>R</w:t>
            </w:r>
            <w:r w:rsidRPr="00557AEB">
              <w:rPr>
                <w:sz w:val="19"/>
              </w:rPr>
              <w:t xml:space="preserve">esidential </w:t>
            </w:r>
            <w:r>
              <w:rPr>
                <w:sz w:val="19"/>
              </w:rPr>
              <w:t>C</w:t>
            </w:r>
            <w:r w:rsidRPr="00557AEB">
              <w:rPr>
                <w:sz w:val="19"/>
              </w:rPr>
              <w:t xml:space="preserve">are or the </w:t>
            </w:r>
            <w:r>
              <w:rPr>
                <w:sz w:val="19"/>
              </w:rPr>
              <w:t>C</w:t>
            </w:r>
            <w:r w:rsidRPr="00557AEB">
              <w:rPr>
                <w:sz w:val="19"/>
              </w:rPr>
              <w:t xml:space="preserve">ommunity </w:t>
            </w:r>
          </w:p>
          <w:p w14:paraId="647B23CA" w14:textId="77777777" w:rsidR="003B6051" w:rsidRDefault="007708D3" w:rsidP="003B6051">
            <w:pPr>
              <w:numPr>
                <w:ilvl w:val="0"/>
                <w:numId w:val="17"/>
              </w:numPr>
              <w:ind w:left="1035"/>
            </w:pPr>
            <w:r>
              <w:t>Early supported dis</w:t>
            </w:r>
            <w:r>
              <w:t>charge to the patient’s home or to a residential aged care facility post operatively will be considered where appropriate.</w:t>
            </w:r>
          </w:p>
          <w:p w14:paraId="6318ED4C" w14:textId="77777777" w:rsidR="003B6051" w:rsidRDefault="007708D3" w:rsidP="003B6051">
            <w:pPr>
              <w:numPr>
                <w:ilvl w:val="0"/>
                <w:numId w:val="17"/>
              </w:numPr>
              <w:ind w:left="1035"/>
            </w:pPr>
            <w:r>
              <w:t xml:space="preserve">Early supported discharge to a </w:t>
            </w:r>
            <w:r>
              <w:rPr>
                <w:u w:val="single"/>
              </w:rPr>
              <w:t>residential aged care facility</w:t>
            </w:r>
            <w:r>
              <w:t xml:space="preserve"> will be considered when the patient meets the following conditions:</w:t>
            </w:r>
          </w:p>
          <w:p w14:paraId="4E54728C" w14:textId="77777777" w:rsidR="003B6051" w:rsidRDefault="007708D3" w:rsidP="003B6051">
            <w:pPr>
              <w:numPr>
                <w:ilvl w:val="0"/>
                <w:numId w:val="13"/>
              </w:numPr>
              <w:ind w:left="1440"/>
            </w:pPr>
            <w:r>
              <w:t>Patient has been deemed medically stable for transfer back to facility by OGS team.</w:t>
            </w:r>
          </w:p>
          <w:p w14:paraId="18BB3AF4" w14:textId="77777777" w:rsidR="003B6051" w:rsidRDefault="007708D3" w:rsidP="003B6051">
            <w:pPr>
              <w:numPr>
                <w:ilvl w:val="0"/>
                <w:numId w:val="13"/>
              </w:numPr>
              <w:ind w:left="1440"/>
            </w:pPr>
            <w:r>
              <w:t>Appropriate medical follow up and aids/ equipment to meet the patient’s needs are accessible within the facility.</w:t>
            </w:r>
          </w:p>
          <w:p w14:paraId="61D1712A" w14:textId="77777777" w:rsidR="003B6051" w:rsidRDefault="007708D3" w:rsidP="003B6051">
            <w:pPr>
              <w:numPr>
                <w:ilvl w:val="0"/>
                <w:numId w:val="16"/>
              </w:numPr>
            </w:pPr>
            <w:r>
              <w:t>If required, therapy follow up for hip fracture is availab</w:t>
            </w:r>
            <w:r>
              <w:t>le post discharge.</w:t>
            </w:r>
          </w:p>
          <w:p w14:paraId="3AEF3FE2" w14:textId="77777777" w:rsidR="003B6051" w:rsidRDefault="007708D3" w:rsidP="003B6051">
            <w:pPr>
              <w:numPr>
                <w:ilvl w:val="0"/>
                <w:numId w:val="17"/>
              </w:numPr>
              <w:ind w:left="1035"/>
            </w:pPr>
            <w:r>
              <w:t xml:space="preserve">Early supported discharge for patients </w:t>
            </w:r>
            <w:r>
              <w:rPr>
                <w:u w:val="single"/>
              </w:rPr>
              <w:t>residing in the community</w:t>
            </w:r>
            <w:r>
              <w:t xml:space="preserve"> will be considered when the patient meets the following conditions:</w:t>
            </w:r>
          </w:p>
          <w:p w14:paraId="0772A2F6" w14:textId="77777777" w:rsidR="003B6051" w:rsidRDefault="007708D3" w:rsidP="003B6051">
            <w:pPr>
              <w:numPr>
                <w:ilvl w:val="0"/>
                <w:numId w:val="13"/>
              </w:numPr>
              <w:ind w:left="1440"/>
            </w:pPr>
            <w:r>
              <w:t>Patient has been deemed medically stable for discharge home.</w:t>
            </w:r>
          </w:p>
          <w:p w14:paraId="53E27362" w14:textId="77777777" w:rsidR="003B6051" w:rsidRDefault="007708D3" w:rsidP="003B6051">
            <w:pPr>
              <w:numPr>
                <w:ilvl w:val="0"/>
                <w:numId w:val="13"/>
              </w:numPr>
              <w:ind w:left="1440"/>
            </w:pPr>
            <w:r>
              <w:t>Patient is at an appropriate functional lev</w:t>
            </w:r>
            <w:r>
              <w:t>el for discharge home with available supports.</w:t>
            </w:r>
          </w:p>
          <w:p w14:paraId="31716366" w14:textId="77777777" w:rsidR="003B6051" w:rsidRDefault="007708D3" w:rsidP="003B6051">
            <w:pPr>
              <w:numPr>
                <w:ilvl w:val="0"/>
                <w:numId w:val="13"/>
              </w:numPr>
              <w:ind w:left="1440"/>
            </w:pPr>
            <w:r>
              <w:t>Appropriate rehabilitation to meet the patient’s needs based on clinical judgement is available (may be community or home based).</w:t>
            </w:r>
          </w:p>
          <w:p w14:paraId="65FF1000" w14:textId="77777777" w:rsidR="003B6051" w:rsidRDefault="007708D3" w:rsidP="003B6051">
            <w:pPr>
              <w:numPr>
                <w:ilvl w:val="0"/>
                <w:numId w:val="13"/>
              </w:numPr>
              <w:ind w:left="1440"/>
            </w:pPr>
            <w:r>
              <w:t>Can participate in ongoing rehabilitation .</w:t>
            </w:r>
          </w:p>
          <w:p w14:paraId="0515C8F0" w14:textId="77777777" w:rsidR="003B6051" w:rsidRDefault="003B6051" w:rsidP="003B6051"/>
          <w:p w14:paraId="2FCA591C" w14:textId="77777777" w:rsidR="003B6051" w:rsidRDefault="007708D3" w:rsidP="003B6051">
            <w:pPr>
              <w:pBdr>
                <w:top w:val="single" w:sz="12" w:space="1" w:color="000000"/>
                <w:left w:val="single" w:sz="12" w:space="4" w:color="000000"/>
                <w:bottom w:val="single" w:sz="12" w:space="1" w:color="000000"/>
                <w:right w:val="single" w:sz="12" w:space="4" w:color="000000"/>
              </w:pBdr>
              <w:shd w:val="clear" w:color="auto" w:fill="FBD5B5"/>
              <w:tabs>
                <w:tab w:val="left" w:pos="803"/>
                <w:tab w:val="left" w:pos="2243"/>
              </w:tabs>
              <w:ind w:left="2160" w:right="596" w:hanging="1620"/>
            </w:pPr>
            <w:r>
              <w:rPr>
                <w:b/>
              </w:rPr>
              <w:t>Quality indicator:</w:t>
            </w:r>
            <w:r>
              <w:t xml:space="preserve">  Number of pati</w:t>
            </w:r>
            <w:r>
              <w:t>ents discharged from acute orthopaedic wards with a length of stay less than 5 days, via annual audit.</w:t>
            </w:r>
          </w:p>
          <w:p w14:paraId="00C94A50" w14:textId="77777777" w:rsidR="003B6051" w:rsidRDefault="003B6051" w:rsidP="003B6051"/>
          <w:p w14:paraId="453488F3" w14:textId="77777777" w:rsidR="003B6051" w:rsidRPr="00557AEB" w:rsidRDefault="007708D3" w:rsidP="003B6051">
            <w:pPr>
              <w:pStyle w:val="Heading3"/>
              <w:rPr>
                <w:sz w:val="19"/>
              </w:rPr>
            </w:pPr>
            <w:r w:rsidRPr="00557AEB">
              <w:rPr>
                <w:sz w:val="19"/>
              </w:rPr>
              <w:t>7.4.6  Discharge Requirements</w:t>
            </w:r>
          </w:p>
          <w:p w14:paraId="0B769A5D" w14:textId="77777777" w:rsidR="003B6051" w:rsidRDefault="007708D3" w:rsidP="003B6051">
            <w:pPr>
              <w:numPr>
                <w:ilvl w:val="0"/>
                <w:numId w:val="17"/>
              </w:numPr>
              <w:ind w:left="1035"/>
            </w:pPr>
            <w:r>
              <w:t xml:space="preserve">Standard discharge requirements will be met for the patient post hip fracture.  Discharge requirements include, and are </w:t>
            </w:r>
            <w:r>
              <w:t>not limited to:</w:t>
            </w:r>
          </w:p>
          <w:p w14:paraId="600C96AF" w14:textId="77777777" w:rsidR="003B6051" w:rsidRPr="00690FAF" w:rsidRDefault="007708D3" w:rsidP="003B6051">
            <w:pPr>
              <w:numPr>
                <w:ilvl w:val="0"/>
                <w:numId w:val="13"/>
              </w:numPr>
              <w:ind w:left="1440"/>
              <w:rPr>
                <w:u w:val="single"/>
              </w:rPr>
            </w:pPr>
            <w:r w:rsidRPr="00690FAF">
              <w:rPr>
                <w:u w:val="single"/>
              </w:rPr>
              <w:t>Patient &amp; Carer Communication</w:t>
            </w:r>
            <w:r>
              <w:rPr>
                <w:u w:val="single"/>
              </w:rPr>
              <w:t>:</w:t>
            </w:r>
          </w:p>
          <w:p w14:paraId="5DFD9A8E" w14:textId="77777777" w:rsidR="003B6051" w:rsidRDefault="007708D3" w:rsidP="003B6051">
            <w:pPr>
              <w:numPr>
                <w:ilvl w:val="1"/>
                <w:numId w:val="13"/>
              </w:numPr>
              <w:ind w:left="2160"/>
            </w:pPr>
            <w:r>
              <w:t xml:space="preserve">Patient and family or carer will be fully informed of the discharge plan and given the opportunity to ask questions.  </w:t>
            </w:r>
          </w:p>
          <w:p w14:paraId="651F1166" w14:textId="77777777" w:rsidR="003B6051" w:rsidRDefault="007708D3" w:rsidP="003B6051">
            <w:pPr>
              <w:numPr>
                <w:ilvl w:val="1"/>
                <w:numId w:val="13"/>
              </w:numPr>
              <w:ind w:left="2160"/>
            </w:pPr>
            <w:r>
              <w:t>Patient and family or carer will have an understanding of the patient’s journey to date an</w:t>
            </w:r>
            <w:r>
              <w:t>d their ongoing care plan going forward.</w:t>
            </w:r>
          </w:p>
          <w:p w14:paraId="73EB71C2" w14:textId="77777777" w:rsidR="003B6051" w:rsidRDefault="007708D3" w:rsidP="003B6051">
            <w:pPr>
              <w:numPr>
                <w:ilvl w:val="1"/>
                <w:numId w:val="13"/>
              </w:numPr>
              <w:ind w:left="2160"/>
            </w:pPr>
            <w:r>
              <w:t>Clinicians will work collaboratively to ensure reliable and consistent information is provided to patients and their caregivers.</w:t>
            </w:r>
          </w:p>
          <w:p w14:paraId="2A781B69" w14:textId="77777777" w:rsidR="003B6051" w:rsidRDefault="007708D3" w:rsidP="003B6051">
            <w:pPr>
              <w:numPr>
                <w:ilvl w:val="1"/>
                <w:numId w:val="13"/>
              </w:numPr>
              <w:ind w:left="2160"/>
            </w:pPr>
            <w:r>
              <w:t>Patients &amp; Caregivers are provided with relevant contact details to enable follow up o</w:t>
            </w:r>
            <w:r>
              <w:t>f any queries post discharge.</w:t>
            </w:r>
          </w:p>
          <w:p w14:paraId="5CC04F67" w14:textId="77777777" w:rsidR="003B6051" w:rsidRDefault="007708D3" w:rsidP="003B6051">
            <w:pPr>
              <w:numPr>
                <w:ilvl w:val="1"/>
                <w:numId w:val="13"/>
              </w:numPr>
              <w:ind w:left="2160"/>
            </w:pPr>
            <w:r>
              <w:t>Information regarding falls prevention strategies will be routinely provided to patients and caregivers upon discharge.</w:t>
            </w:r>
          </w:p>
          <w:p w14:paraId="58B30E77" w14:textId="77777777" w:rsidR="003B6051" w:rsidRPr="00690FAF" w:rsidRDefault="007708D3" w:rsidP="003B6051">
            <w:pPr>
              <w:numPr>
                <w:ilvl w:val="0"/>
                <w:numId w:val="13"/>
              </w:numPr>
              <w:ind w:left="1440"/>
              <w:rPr>
                <w:u w:val="single"/>
              </w:rPr>
            </w:pPr>
            <w:r w:rsidRPr="00690FAF">
              <w:rPr>
                <w:u w:val="single"/>
              </w:rPr>
              <w:t>Medications &amp; GP follow up</w:t>
            </w:r>
            <w:r>
              <w:rPr>
                <w:u w:val="single"/>
              </w:rPr>
              <w:t>:</w:t>
            </w:r>
          </w:p>
          <w:p w14:paraId="683EC238" w14:textId="77777777" w:rsidR="003B6051" w:rsidRDefault="007708D3" w:rsidP="003B6051">
            <w:pPr>
              <w:numPr>
                <w:ilvl w:val="1"/>
                <w:numId w:val="13"/>
              </w:numPr>
              <w:ind w:left="2160"/>
            </w:pPr>
            <w:r>
              <w:t>The patient or family/carer is aware of, and can administer, the discharge med</w:t>
            </w:r>
            <w:r>
              <w:t>ication schedule.</w:t>
            </w:r>
          </w:p>
          <w:p w14:paraId="4AADDA20" w14:textId="77777777" w:rsidR="003B6051" w:rsidRDefault="007708D3" w:rsidP="003B6051">
            <w:pPr>
              <w:numPr>
                <w:ilvl w:val="1"/>
                <w:numId w:val="13"/>
              </w:numPr>
              <w:ind w:left="2160"/>
            </w:pPr>
            <w:r>
              <w:t>The patient has planned follow-up with their GP or other services.</w:t>
            </w:r>
          </w:p>
          <w:p w14:paraId="0A95DA2A" w14:textId="77777777" w:rsidR="003B6051" w:rsidRDefault="007708D3" w:rsidP="003B6051">
            <w:pPr>
              <w:numPr>
                <w:ilvl w:val="1"/>
                <w:numId w:val="13"/>
              </w:numPr>
              <w:ind w:left="2160"/>
            </w:pPr>
            <w:r>
              <w:t>There is a documented plan in place for wound management.</w:t>
            </w:r>
          </w:p>
          <w:p w14:paraId="31DF3D3F" w14:textId="77777777" w:rsidR="003B6051" w:rsidRDefault="007708D3" w:rsidP="003B6051">
            <w:pPr>
              <w:numPr>
                <w:ilvl w:val="1"/>
                <w:numId w:val="13"/>
              </w:numPr>
              <w:ind w:left="2160"/>
            </w:pPr>
            <w:r>
              <w:t>Bone medications have been prescribed as appropriate.</w:t>
            </w:r>
          </w:p>
          <w:p w14:paraId="5C3D785F" w14:textId="77777777" w:rsidR="003B6051" w:rsidRDefault="007708D3" w:rsidP="003B6051">
            <w:pPr>
              <w:numPr>
                <w:ilvl w:val="1"/>
                <w:numId w:val="13"/>
              </w:numPr>
              <w:ind w:left="2160"/>
            </w:pPr>
            <w:r>
              <w:t>Plan for ongoing therapy/ rehabilitation documented and con</w:t>
            </w:r>
            <w:r>
              <w:t>firmed with patient and or carer with contact numbers for ongoing services and ward staff provided.</w:t>
            </w:r>
          </w:p>
          <w:p w14:paraId="3D3FB039" w14:textId="77777777" w:rsidR="003B6051" w:rsidRPr="00690FAF" w:rsidRDefault="007708D3" w:rsidP="003B6051">
            <w:pPr>
              <w:numPr>
                <w:ilvl w:val="0"/>
                <w:numId w:val="13"/>
              </w:numPr>
              <w:ind w:left="1440"/>
              <w:rPr>
                <w:u w:val="single"/>
              </w:rPr>
            </w:pPr>
            <w:r w:rsidRPr="00690FAF">
              <w:rPr>
                <w:u w:val="single"/>
              </w:rPr>
              <w:t>Equipment follow up</w:t>
            </w:r>
            <w:r>
              <w:rPr>
                <w:u w:val="single"/>
              </w:rPr>
              <w:t>:</w:t>
            </w:r>
          </w:p>
          <w:p w14:paraId="4F586122" w14:textId="77777777" w:rsidR="003B6051" w:rsidRDefault="007708D3" w:rsidP="003B6051">
            <w:pPr>
              <w:numPr>
                <w:ilvl w:val="1"/>
                <w:numId w:val="13"/>
              </w:numPr>
              <w:ind w:left="2160"/>
            </w:pPr>
            <w:r>
              <w:t>Ongoing aids or equipment needs will be discussed and confirmed with the patient, carer and or residential care facility.</w:t>
            </w:r>
          </w:p>
          <w:p w14:paraId="0C933ACF" w14:textId="77777777" w:rsidR="003B6051" w:rsidRDefault="003B6051" w:rsidP="003B6051">
            <w:pPr>
              <w:widowControl w:val="0"/>
            </w:pPr>
          </w:p>
        </w:tc>
      </w:tr>
      <w:tr w:rsidR="0079682B" w14:paraId="3190DE82" w14:textId="77777777" w:rsidTr="00562EA9">
        <w:trPr>
          <w:trHeight w:val="839"/>
          <w:jc w:val="center"/>
        </w:trPr>
        <w:tc>
          <w:tcPr>
            <w:tcW w:w="10121" w:type="dxa"/>
            <w:gridSpan w:val="2"/>
            <w:tcBorders>
              <w:top w:val="single" w:sz="4" w:space="0" w:color="auto"/>
              <w:bottom w:val="single" w:sz="4" w:space="0" w:color="auto"/>
            </w:tcBorders>
          </w:tcPr>
          <w:p w14:paraId="4E6CE466" w14:textId="77777777" w:rsidR="003B6051" w:rsidRDefault="007708D3" w:rsidP="003B6051">
            <w:pPr>
              <w:pStyle w:val="Heading1"/>
            </w:pPr>
            <w:r>
              <w:t xml:space="preserve">8.  </w:t>
            </w:r>
            <w:r>
              <w:t>Document History</w:t>
            </w:r>
          </w:p>
          <w:p w14:paraId="4282FEFC" w14:textId="77777777" w:rsidR="003B6051" w:rsidRDefault="007708D3" w:rsidP="003B6051">
            <w:pPr>
              <w:widowControl w:val="0"/>
            </w:pPr>
            <w:r>
              <w:t>Number of previous revisions: 1</w:t>
            </w:r>
          </w:p>
          <w:p w14:paraId="367CF2E6" w14:textId="77777777" w:rsidR="003B6051" w:rsidRDefault="003B6051" w:rsidP="003B6051">
            <w:pPr>
              <w:widowControl w:val="0"/>
            </w:pPr>
          </w:p>
          <w:p w14:paraId="727F23DD" w14:textId="77777777" w:rsidR="003B6051" w:rsidRDefault="007708D3" w:rsidP="003B6051">
            <w:pPr>
              <w:widowControl w:val="0"/>
            </w:pPr>
            <w:r>
              <w:t>Previous issue dates: November 2019</w:t>
            </w:r>
          </w:p>
          <w:p w14:paraId="128FCBFA" w14:textId="77777777" w:rsidR="003B6051" w:rsidRDefault="003B6051" w:rsidP="003B6051">
            <w:pPr>
              <w:widowControl w:val="0"/>
            </w:pPr>
          </w:p>
        </w:tc>
      </w:tr>
      <w:tr w:rsidR="0079682B" w14:paraId="4957916E" w14:textId="77777777" w:rsidTr="00562EA9">
        <w:trPr>
          <w:trHeight w:val="444"/>
          <w:jc w:val="center"/>
        </w:trPr>
        <w:tc>
          <w:tcPr>
            <w:tcW w:w="10121" w:type="dxa"/>
            <w:gridSpan w:val="2"/>
            <w:tcBorders>
              <w:top w:val="single" w:sz="4" w:space="0" w:color="auto"/>
              <w:bottom w:val="single" w:sz="4" w:space="0" w:color="auto"/>
            </w:tcBorders>
          </w:tcPr>
          <w:p w14:paraId="1DB4ECE8" w14:textId="77777777" w:rsidR="003B6051" w:rsidRDefault="007708D3" w:rsidP="003B6051">
            <w:pPr>
              <w:pStyle w:val="Heading1"/>
            </w:pPr>
            <w:r>
              <w:t>9.  References</w:t>
            </w:r>
          </w:p>
          <w:p w14:paraId="40F1454A" w14:textId="77777777" w:rsidR="003B6051" w:rsidRDefault="007708D3" w:rsidP="003B6051">
            <w:pPr>
              <w:widowControl w:val="0"/>
            </w:pPr>
            <w:r>
              <w:t xml:space="preserve">Australian &amp; New Zealand Hip Fracture Registry Steering Group, </w:t>
            </w:r>
            <w:r>
              <w:rPr>
                <w:i/>
              </w:rPr>
              <w:t>Australian &amp; New Zealand Guideline for Hip Fracture Care: Improving Outcomes in Hip Fractu</w:t>
            </w:r>
            <w:r>
              <w:rPr>
                <w:i/>
              </w:rPr>
              <w:t>re Management of Adults,</w:t>
            </w:r>
            <w:r>
              <w:t xml:space="preserve"> 2014.</w:t>
            </w:r>
          </w:p>
          <w:p w14:paraId="02FC0CE4" w14:textId="77777777" w:rsidR="003B6051" w:rsidRDefault="003B6051" w:rsidP="003B6051">
            <w:pPr>
              <w:widowControl w:val="0"/>
            </w:pPr>
          </w:p>
          <w:p w14:paraId="1A87349D" w14:textId="77777777" w:rsidR="003B6051" w:rsidRDefault="007708D3" w:rsidP="003B6051">
            <w:pPr>
              <w:widowControl w:val="0"/>
            </w:pPr>
            <w:r>
              <w:t xml:space="preserve">Australian Commission on Safety &amp; Quality in Health Care, </w:t>
            </w:r>
            <w:r>
              <w:rPr>
                <w:i/>
              </w:rPr>
              <w:t>Hip Fracture Care Clinical Care Standard</w:t>
            </w:r>
            <w:r>
              <w:t>, 2016.</w:t>
            </w:r>
          </w:p>
          <w:p w14:paraId="4FFA1DD7" w14:textId="77777777" w:rsidR="003B6051" w:rsidRDefault="003B6051" w:rsidP="003B6051">
            <w:pPr>
              <w:widowControl w:val="0"/>
            </w:pPr>
          </w:p>
        </w:tc>
      </w:tr>
      <w:tr w:rsidR="0079682B" w14:paraId="7DA65467" w14:textId="77777777" w:rsidTr="00562EA9">
        <w:trPr>
          <w:jc w:val="center"/>
        </w:trPr>
        <w:tc>
          <w:tcPr>
            <w:tcW w:w="10121" w:type="dxa"/>
            <w:gridSpan w:val="2"/>
            <w:tcBorders>
              <w:top w:val="single" w:sz="4" w:space="0" w:color="auto"/>
              <w:bottom w:val="single" w:sz="4" w:space="0" w:color="auto"/>
            </w:tcBorders>
          </w:tcPr>
          <w:p w14:paraId="3F72F803" w14:textId="77777777" w:rsidR="003B6051" w:rsidRDefault="007708D3" w:rsidP="003B6051">
            <w:pPr>
              <w:pStyle w:val="Heading1"/>
            </w:pPr>
            <w:r>
              <w:t>10.  Sponsor</w:t>
            </w:r>
          </w:p>
          <w:p w14:paraId="38A156C5" w14:textId="77777777" w:rsidR="003B6051" w:rsidRDefault="007708D3" w:rsidP="003B6051">
            <w:pPr>
              <w:widowControl w:val="0"/>
            </w:pPr>
            <w:r>
              <w:t>Executive Director Operations</w:t>
            </w:r>
          </w:p>
          <w:p w14:paraId="208A8894" w14:textId="77777777" w:rsidR="003B6051" w:rsidRDefault="003B6051" w:rsidP="003B6051">
            <w:pPr>
              <w:widowControl w:val="0"/>
            </w:pPr>
          </w:p>
        </w:tc>
      </w:tr>
      <w:tr w:rsidR="0079682B" w14:paraId="7D34B00E" w14:textId="77777777" w:rsidTr="00562EA9">
        <w:trPr>
          <w:jc w:val="center"/>
        </w:trPr>
        <w:tc>
          <w:tcPr>
            <w:tcW w:w="10121" w:type="dxa"/>
            <w:gridSpan w:val="2"/>
            <w:tcBorders>
              <w:top w:val="single" w:sz="4" w:space="0" w:color="auto"/>
            </w:tcBorders>
          </w:tcPr>
          <w:p w14:paraId="7100EDEC" w14:textId="77777777" w:rsidR="003B6051" w:rsidRDefault="007708D3" w:rsidP="003B6051">
            <w:pPr>
              <w:pStyle w:val="Heading1"/>
            </w:pPr>
            <w:r>
              <w:t>11.  Authorisation Authority</w:t>
            </w:r>
          </w:p>
          <w:p w14:paraId="4BB47656" w14:textId="77777777" w:rsidR="003B6051" w:rsidRDefault="007708D3" w:rsidP="003B6051">
            <w:pPr>
              <w:widowControl w:val="0"/>
            </w:pPr>
            <w:r>
              <w:t>Executive Director Operations</w:t>
            </w:r>
          </w:p>
          <w:p w14:paraId="652CA7F8" w14:textId="77777777" w:rsidR="003B6051" w:rsidRDefault="003B6051" w:rsidP="003B6051">
            <w:pPr>
              <w:widowControl w:val="0"/>
            </w:pPr>
          </w:p>
        </w:tc>
      </w:tr>
    </w:tbl>
    <w:p w14:paraId="6952F68E" w14:textId="77777777" w:rsidR="002706F8" w:rsidRDefault="002706F8"/>
    <w:p w14:paraId="2EC98DF6" w14:textId="77777777" w:rsidR="00FE5446" w:rsidRDefault="007708D3">
      <w:r>
        <w:rPr>
          <w:b/>
          <w:bCs/>
        </w:rPr>
        <w:br w:type="page"/>
      </w:r>
    </w:p>
    <w:p w14:paraId="0557F12F" w14:textId="77777777" w:rsidR="002706F8" w:rsidRDefault="007708D3">
      <w:pPr>
        <w:pStyle w:val="Heading1"/>
      </w:pPr>
      <w:r>
        <w:t xml:space="preserve">Appendix 1: Diagnosis and Pre-operative Management of Patients with Hip Fractures </w:t>
      </w:r>
    </w:p>
    <w:tbl>
      <w:tblPr>
        <w:tblStyle w:val="a3"/>
        <w:tblW w:w="10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92"/>
      </w:tblGrid>
      <w:tr w:rsidR="0079682B" w14:paraId="4E55A811" w14:textId="77777777">
        <w:tc>
          <w:tcPr>
            <w:tcW w:w="10092" w:type="dxa"/>
            <w:tcBorders>
              <w:top w:val="nil"/>
              <w:left w:val="nil"/>
              <w:bottom w:val="nil"/>
              <w:right w:val="nil"/>
            </w:tcBorders>
          </w:tcPr>
          <w:p w14:paraId="19CC513F" w14:textId="77777777" w:rsidR="002706F8" w:rsidRDefault="007708D3">
            <w:pPr>
              <w:rPr>
                <w:b/>
                <w:sz w:val="22"/>
                <w:szCs w:val="22"/>
              </w:rPr>
            </w:pPr>
            <w:r>
              <w:rPr>
                <w:noProof/>
                <w:lang w:eastAsia="en-AU"/>
              </w:rPr>
              <w:drawing>
                <wp:inline distT="114300" distB="114300" distL="114300" distR="114300" wp14:anchorId="272A3934" wp14:editId="19E1589C">
                  <wp:extent cx="6276975" cy="6045200"/>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3"/>
                          <a:stretch>
                            <a:fillRect/>
                          </a:stretch>
                        </pic:blipFill>
                        <pic:spPr>
                          <a:xfrm>
                            <a:off x="0" y="0"/>
                            <a:ext cx="6276975" cy="6045200"/>
                          </a:xfrm>
                          <a:prstGeom prst="rect">
                            <a:avLst/>
                          </a:prstGeom>
                        </pic:spPr>
                      </pic:pic>
                    </a:graphicData>
                  </a:graphic>
                </wp:inline>
              </w:drawing>
            </w:r>
          </w:p>
        </w:tc>
      </w:tr>
    </w:tbl>
    <w:p w14:paraId="471D6745" w14:textId="77777777" w:rsidR="002706F8" w:rsidRDefault="007708D3">
      <w:pPr>
        <w:rPr>
          <w:b/>
          <w:sz w:val="22"/>
          <w:szCs w:val="22"/>
        </w:rPr>
      </w:pPr>
      <w:r>
        <w:br w:type="page"/>
      </w:r>
    </w:p>
    <w:p w14:paraId="4E0FACC4" w14:textId="77777777" w:rsidR="002706F8" w:rsidRDefault="007708D3">
      <w:pPr>
        <w:pStyle w:val="Heading1"/>
      </w:pPr>
      <w:r>
        <w:t>Appendix 2: Post-operative Management of Patients with Hip Fractures</w:t>
      </w:r>
    </w:p>
    <w:tbl>
      <w:tblPr>
        <w:tblStyle w:val="a4"/>
        <w:tblW w:w="10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92"/>
      </w:tblGrid>
      <w:tr w:rsidR="0079682B" w14:paraId="6C2B4F6D" w14:textId="77777777">
        <w:tc>
          <w:tcPr>
            <w:tcW w:w="10092" w:type="dxa"/>
            <w:tcBorders>
              <w:top w:val="nil"/>
              <w:left w:val="nil"/>
              <w:bottom w:val="nil"/>
              <w:right w:val="nil"/>
            </w:tcBorders>
          </w:tcPr>
          <w:p w14:paraId="4A63A7DB" w14:textId="77777777" w:rsidR="002706F8" w:rsidRDefault="002706F8" w:rsidP="00232A64"/>
        </w:tc>
      </w:tr>
    </w:tbl>
    <w:p w14:paraId="549304C1" w14:textId="77777777" w:rsidR="002706F8" w:rsidRDefault="007708D3">
      <w:r>
        <w:rPr>
          <w:noProof/>
          <w:lang w:eastAsia="en-AU"/>
        </w:rPr>
        <w:drawing>
          <wp:inline distT="114300" distB="114300" distL="114300" distR="114300" wp14:anchorId="75110E8B" wp14:editId="2A67DB57">
            <wp:extent cx="6408110" cy="549910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5" name="image1.png"/>
                    <pic:cNvPicPr/>
                  </pic:nvPicPr>
                  <pic:blipFill>
                    <a:blip r:embed="rId14"/>
                    <a:stretch>
                      <a:fillRect/>
                    </a:stretch>
                  </pic:blipFill>
                  <pic:spPr>
                    <a:xfrm>
                      <a:off x="0" y="0"/>
                      <a:ext cx="6408110" cy="5499100"/>
                    </a:xfrm>
                    <a:prstGeom prst="rect">
                      <a:avLst/>
                    </a:prstGeom>
                  </pic:spPr>
                </pic:pic>
              </a:graphicData>
            </a:graphic>
          </wp:inline>
        </w:drawing>
      </w:r>
    </w:p>
    <w:sectPr w:rsidR="002706F8">
      <w:footerReference w:type="default" r:id="rId15"/>
      <w:headerReference w:type="first" r:id="rId16"/>
      <w:footerReference w:type="first" r:id="rId17"/>
      <w:pgSz w:w="11906" w:h="16838"/>
      <w:pgMar w:top="794" w:right="907" w:bottom="794" w:left="907" w:header="284" w:footer="28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CB8AE" w14:textId="77777777" w:rsidR="007708D3" w:rsidRDefault="007708D3">
      <w:r>
        <w:separator/>
      </w:r>
    </w:p>
  </w:endnote>
  <w:endnote w:type="continuationSeparator" w:id="0">
    <w:p w14:paraId="17B4C277" w14:textId="77777777" w:rsidR="007708D3" w:rsidRDefault="00770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Liberation Sans">
    <w:altName w:val="Times New Roman"/>
    <w:panose1 w:val="020B0604020202020204"/>
    <w:charset w:val="00"/>
    <w:family w:val="roman"/>
    <w:pitch w:val="default"/>
  </w:font>
  <w:font w:name="Microsoft YaHei">
    <w:panose1 w:val="020B0503020204020204"/>
    <w:charset w:val="86"/>
    <w:family w:val="swiss"/>
    <w:pitch w:val="variable"/>
    <w:sig w:usb0="80000287" w:usb1="2A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5"/>
      <w:tblW w:w="9758" w:type="dxa"/>
      <w:jc w:val="center"/>
      <w:tblLayout w:type="fixed"/>
      <w:tblLook w:val="0400" w:firstRow="0" w:lastRow="0" w:firstColumn="0" w:lastColumn="0" w:noHBand="0" w:noVBand="1"/>
    </w:tblPr>
    <w:tblGrid>
      <w:gridCol w:w="4307"/>
      <w:gridCol w:w="5451"/>
    </w:tblGrid>
    <w:tr w:rsidR="0079682B" w14:paraId="7C68F7C9" w14:textId="77777777" w:rsidTr="000179B2">
      <w:trPr>
        <w:jc w:val="center"/>
      </w:trPr>
      <w:tc>
        <w:tcPr>
          <w:tcW w:w="4307" w:type="dxa"/>
        </w:tcPr>
        <w:p w14:paraId="7D07C485" w14:textId="77777777" w:rsidR="002706F8" w:rsidRDefault="007708D3">
          <w:pPr>
            <w:widowControl w:val="0"/>
            <w:spacing w:after="40"/>
            <w:rPr>
              <w:b/>
              <w:sz w:val="14"/>
              <w:szCs w:val="14"/>
            </w:rPr>
          </w:pPr>
          <w:r>
            <w:rPr>
              <w:b/>
              <w:sz w:val="14"/>
              <w:szCs w:val="14"/>
            </w:rPr>
            <w:t xml:space="preserve">OG-CC4 Guideline for the Management of Suspected and Confirmed Hip </w:t>
          </w:r>
          <w:r>
            <w:rPr>
              <w:b/>
              <w:sz w:val="14"/>
              <w:szCs w:val="14"/>
            </w:rPr>
            <w:t>Fractures</w:t>
          </w:r>
        </w:p>
      </w:tc>
      <w:tc>
        <w:tcPr>
          <w:tcW w:w="5451" w:type="dxa"/>
        </w:tcPr>
        <w:p w14:paraId="2E0B23CB" w14:textId="77777777" w:rsidR="002706F8" w:rsidRDefault="007708D3">
          <w:pPr>
            <w:widowControl w:val="0"/>
            <w:spacing w:after="40"/>
            <w:jc w:val="right"/>
            <w:rPr>
              <w:b/>
              <w:sz w:val="14"/>
              <w:szCs w:val="14"/>
            </w:rPr>
          </w:pPr>
          <w:r>
            <w:rPr>
              <w:b/>
              <w:sz w:val="14"/>
              <w:szCs w:val="14"/>
            </w:rPr>
            <w:t xml:space="preserve">Page </w:t>
          </w:r>
          <w:r>
            <w:rPr>
              <w:b/>
              <w:sz w:val="14"/>
              <w:szCs w:val="14"/>
            </w:rPr>
            <w:fldChar w:fldCharType="begin"/>
          </w:r>
          <w:r>
            <w:rPr>
              <w:b/>
              <w:sz w:val="14"/>
              <w:szCs w:val="14"/>
            </w:rPr>
            <w:instrText>PAGE</w:instrText>
          </w:r>
          <w:r>
            <w:rPr>
              <w:b/>
              <w:sz w:val="14"/>
              <w:szCs w:val="14"/>
            </w:rPr>
            <w:fldChar w:fldCharType="separate"/>
          </w:r>
          <w:r w:rsidR="00562EA9">
            <w:rPr>
              <w:b/>
              <w:noProof/>
              <w:sz w:val="14"/>
              <w:szCs w:val="14"/>
            </w:rPr>
            <w:t>7</w:t>
          </w:r>
          <w:r>
            <w:rPr>
              <w:b/>
              <w:sz w:val="14"/>
              <w:szCs w:val="14"/>
            </w:rPr>
            <w:fldChar w:fldCharType="end"/>
          </w:r>
          <w:r>
            <w:rPr>
              <w:b/>
              <w:sz w:val="14"/>
              <w:szCs w:val="14"/>
            </w:rPr>
            <w:t xml:space="preserve"> of </w:t>
          </w:r>
          <w:r>
            <w:rPr>
              <w:b/>
              <w:sz w:val="14"/>
              <w:szCs w:val="14"/>
            </w:rPr>
            <w:fldChar w:fldCharType="begin"/>
          </w:r>
          <w:r>
            <w:rPr>
              <w:b/>
              <w:sz w:val="14"/>
              <w:szCs w:val="14"/>
            </w:rPr>
            <w:instrText>NUMPAGES</w:instrText>
          </w:r>
          <w:r>
            <w:rPr>
              <w:b/>
              <w:sz w:val="14"/>
              <w:szCs w:val="14"/>
            </w:rPr>
            <w:fldChar w:fldCharType="separate"/>
          </w:r>
          <w:r w:rsidR="00562EA9">
            <w:rPr>
              <w:b/>
              <w:noProof/>
              <w:sz w:val="14"/>
              <w:szCs w:val="14"/>
            </w:rPr>
            <w:t>7</w:t>
          </w:r>
          <w:r>
            <w:rPr>
              <w:b/>
              <w:sz w:val="14"/>
              <w:szCs w:val="14"/>
            </w:rPr>
            <w:fldChar w:fldCharType="end"/>
          </w:r>
        </w:p>
      </w:tc>
    </w:tr>
  </w:tbl>
  <w:p w14:paraId="61F6E070" w14:textId="77777777" w:rsidR="002706F8" w:rsidRPr="00317484" w:rsidRDefault="002706F8" w:rsidP="00FE5446">
    <w:pPr>
      <w:pBdr>
        <w:top w:val="nil"/>
        <w:left w:val="nil"/>
        <w:bottom w:val="nil"/>
        <w:right w:val="nil"/>
        <w:between w:val="nil"/>
      </w:pBdr>
      <w:tabs>
        <w:tab w:val="center" w:pos="4153"/>
        <w:tab w:val="right" w:pos="8306"/>
      </w:tabs>
      <w:rPr>
        <w:rFonts w:eastAsia="Book Antiqua" w:cs="Arial"/>
        <w:color w:val="000000"/>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6"/>
      <w:tblW w:w="10199" w:type="dxa"/>
      <w:jc w:val="center"/>
      <w:tblLayout w:type="fixed"/>
      <w:tblLook w:val="0400" w:firstRow="0" w:lastRow="0" w:firstColumn="0" w:lastColumn="0" w:noHBand="0" w:noVBand="1"/>
    </w:tblPr>
    <w:tblGrid>
      <w:gridCol w:w="4748"/>
      <w:gridCol w:w="5451"/>
    </w:tblGrid>
    <w:tr w:rsidR="0079682B" w14:paraId="12607A73" w14:textId="77777777">
      <w:trPr>
        <w:jc w:val="center"/>
      </w:trPr>
      <w:tc>
        <w:tcPr>
          <w:tcW w:w="4748" w:type="dxa"/>
        </w:tcPr>
        <w:p w14:paraId="5507DA44" w14:textId="77777777" w:rsidR="002706F8" w:rsidRDefault="007708D3">
          <w:pPr>
            <w:widowControl w:val="0"/>
            <w:spacing w:after="40"/>
            <w:rPr>
              <w:b/>
              <w:sz w:val="14"/>
              <w:szCs w:val="14"/>
            </w:rPr>
          </w:pPr>
          <w:r>
            <w:rPr>
              <w:b/>
              <w:sz w:val="14"/>
              <w:szCs w:val="14"/>
            </w:rPr>
            <w:t>OG-CC4 Guideline for the Management of Suspected</w:t>
          </w:r>
          <w:r w:rsidR="000661A8">
            <w:rPr>
              <w:b/>
              <w:sz w:val="14"/>
              <w:szCs w:val="14"/>
            </w:rPr>
            <w:t xml:space="preserve"> and Confirmed </w:t>
          </w:r>
          <w:r>
            <w:rPr>
              <w:b/>
              <w:sz w:val="14"/>
              <w:szCs w:val="14"/>
            </w:rPr>
            <w:t>Hip Fractures</w:t>
          </w:r>
        </w:p>
      </w:tc>
      <w:tc>
        <w:tcPr>
          <w:tcW w:w="5451" w:type="dxa"/>
        </w:tcPr>
        <w:p w14:paraId="294D37C0" w14:textId="77777777" w:rsidR="002706F8" w:rsidRDefault="007708D3">
          <w:pPr>
            <w:widowControl w:val="0"/>
            <w:spacing w:after="40"/>
            <w:jc w:val="right"/>
            <w:rPr>
              <w:b/>
              <w:sz w:val="14"/>
              <w:szCs w:val="14"/>
            </w:rPr>
          </w:pPr>
          <w:r>
            <w:rPr>
              <w:b/>
              <w:sz w:val="14"/>
              <w:szCs w:val="14"/>
            </w:rPr>
            <w:t xml:space="preserve">Page </w:t>
          </w:r>
          <w:r>
            <w:rPr>
              <w:b/>
              <w:sz w:val="14"/>
              <w:szCs w:val="14"/>
            </w:rPr>
            <w:fldChar w:fldCharType="begin"/>
          </w:r>
          <w:r>
            <w:rPr>
              <w:b/>
              <w:sz w:val="14"/>
              <w:szCs w:val="14"/>
            </w:rPr>
            <w:instrText>PAGE</w:instrText>
          </w:r>
          <w:r>
            <w:rPr>
              <w:b/>
              <w:sz w:val="14"/>
              <w:szCs w:val="14"/>
            </w:rPr>
            <w:fldChar w:fldCharType="separate"/>
          </w:r>
          <w:r w:rsidR="00562EA9">
            <w:rPr>
              <w:b/>
              <w:noProof/>
              <w:sz w:val="14"/>
              <w:szCs w:val="14"/>
            </w:rPr>
            <w:t>1</w:t>
          </w:r>
          <w:r>
            <w:rPr>
              <w:b/>
              <w:sz w:val="14"/>
              <w:szCs w:val="14"/>
            </w:rPr>
            <w:fldChar w:fldCharType="end"/>
          </w:r>
          <w:r>
            <w:rPr>
              <w:b/>
              <w:sz w:val="14"/>
              <w:szCs w:val="14"/>
            </w:rPr>
            <w:t xml:space="preserve"> of </w:t>
          </w:r>
          <w:r>
            <w:rPr>
              <w:b/>
              <w:sz w:val="14"/>
              <w:szCs w:val="14"/>
            </w:rPr>
            <w:fldChar w:fldCharType="begin"/>
          </w:r>
          <w:r>
            <w:rPr>
              <w:b/>
              <w:sz w:val="14"/>
              <w:szCs w:val="14"/>
            </w:rPr>
            <w:instrText>NUMPAGES</w:instrText>
          </w:r>
          <w:r>
            <w:rPr>
              <w:b/>
              <w:sz w:val="14"/>
              <w:szCs w:val="14"/>
            </w:rPr>
            <w:fldChar w:fldCharType="separate"/>
          </w:r>
          <w:r w:rsidR="00562EA9">
            <w:rPr>
              <w:b/>
              <w:noProof/>
              <w:sz w:val="14"/>
              <w:szCs w:val="14"/>
            </w:rPr>
            <w:t>7</w:t>
          </w:r>
          <w:r>
            <w:rPr>
              <w:b/>
              <w:sz w:val="14"/>
              <w:szCs w:val="14"/>
            </w:rPr>
            <w:fldChar w:fldCharType="end"/>
          </w:r>
        </w:p>
      </w:tc>
    </w:tr>
  </w:tbl>
  <w:p w14:paraId="1A463C03" w14:textId="77777777" w:rsidR="002706F8" w:rsidRPr="00317484" w:rsidRDefault="002706F8">
    <w:pPr>
      <w:pBdr>
        <w:top w:val="nil"/>
        <w:left w:val="nil"/>
        <w:bottom w:val="nil"/>
        <w:right w:val="nil"/>
        <w:between w:val="nil"/>
      </w:pBdr>
      <w:tabs>
        <w:tab w:val="center" w:pos="4153"/>
        <w:tab w:val="right" w:pos="8306"/>
      </w:tabs>
      <w:rPr>
        <w:rFonts w:eastAsia="Book Antiqua" w:cs="Arial"/>
        <w:color w:val="00000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B7604" w14:textId="77777777" w:rsidR="007708D3" w:rsidRDefault="007708D3">
      <w:r>
        <w:separator/>
      </w:r>
    </w:p>
  </w:footnote>
  <w:footnote w:type="continuationSeparator" w:id="0">
    <w:p w14:paraId="08CC8865" w14:textId="77777777" w:rsidR="007708D3" w:rsidRDefault="00770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30D4C" w14:textId="77777777" w:rsidR="002706F8" w:rsidRDefault="007708D3">
    <w:pPr>
      <w:pBdr>
        <w:top w:val="nil"/>
        <w:left w:val="nil"/>
        <w:bottom w:val="nil"/>
        <w:right w:val="nil"/>
        <w:between w:val="nil"/>
      </w:pBdr>
      <w:tabs>
        <w:tab w:val="center" w:pos="4153"/>
        <w:tab w:val="right" w:pos="8306"/>
      </w:tabs>
      <w:rPr>
        <w:rFonts w:eastAsia="Arial" w:cs="Arial"/>
        <w:color w:val="000000"/>
        <w:szCs w:val="18"/>
      </w:rPr>
    </w:pPr>
    <w:r>
      <w:rPr>
        <w:noProof/>
        <w:lang w:eastAsia="en-AU"/>
      </w:rPr>
      <w:drawing>
        <wp:anchor distT="0" distB="0" distL="0" distR="0" simplePos="0" relativeHeight="251658240" behindDoc="0" locked="0" layoutInCell="1" allowOverlap="1" wp14:anchorId="2A3C5BAD" wp14:editId="6895D7EF">
          <wp:simplePos x="0" y="0"/>
          <wp:positionH relativeFrom="column">
            <wp:posOffset>5017770</wp:posOffset>
          </wp:positionH>
          <wp:positionV relativeFrom="paragraph">
            <wp:posOffset>54610</wp:posOffset>
          </wp:positionV>
          <wp:extent cx="1395730" cy="268605"/>
          <wp:effectExtent l="0" t="0" r="0" b="0"/>
          <wp:wrapSquare wrapText="bothSides"/>
          <wp:docPr id="6" name="image2.jpg" descr="WH logo horizontal"/>
          <wp:cNvGraphicFramePr/>
          <a:graphic xmlns:a="http://schemas.openxmlformats.org/drawingml/2006/main">
            <a:graphicData uri="http://schemas.openxmlformats.org/drawingml/2006/picture">
              <pic:pic xmlns:pic="http://schemas.openxmlformats.org/drawingml/2006/picture">
                <pic:nvPicPr>
                  <pic:cNvPr id="6" name="image2.jpg" descr="WH logo horizontal"/>
                  <pic:cNvPicPr/>
                </pic:nvPicPr>
                <pic:blipFill>
                  <a:blip r:embed="rId1"/>
                  <a:stretch>
                    <a:fillRect/>
                  </a:stretch>
                </pic:blipFill>
                <pic:spPr>
                  <a:xfrm>
                    <a:off x="0" y="0"/>
                    <a:ext cx="1395730" cy="2686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E1F07"/>
    <w:multiLevelType w:val="multilevel"/>
    <w:tmpl w:val="0B3E9B72"/>
    <w:lvl w:ilvl="0">
      <w:start w:val="1"/>
      <w:numFmt w:val="bullet"/>
      <w:pStyle w:val="ListBullet"/>
      <w:lvlText w:val="●"/>
      <w:lvlJc w:val="left"/>
      <w:pPr>
        <w:ind w:left="1035" w:hanging="360"/>
      </w:pPr>
      <w:rPr>
        <w:rFonts w:ascii="Noto Sans Symbols" w:eastAsia="Noto Sans Symbols" w:hAnsi="Noto Sans Symbols" w:cs="Noto Sans Symbols"/>
        <w:sz w:val="18"/>
        <w:szCs w:val="18"/>
      </w:rPr>
    </w:lvl>
    <w:lvl w:ilvl="1">
      <w:start w:val="1"/>
      <w:numFmt w:val="bullet"/>
      <w:lvlText w:val=""/>
      <w:lvlJc w:val="left"/>
      <w:pPr>
        <w:ind w:left="1755" w:hanging="360"/>
      </w:pPr>
      <w:rPr>
        <w:rFonts w:ascii="Symbol" w:hAnsi="Symbol" w:hint="default"/>
      </w:rPr>
    </w:lvl>
    <w:lvl w:ilvl="2">
      <w:start w:val="1"/>
      <w:numFmt w:val="bullet"/>
      <w:lvlText w:val="▪"/>
      <w:lvlJc w:val="left"/>
      <w:pPr>
        <w:ind w:left="2475" w:hanging="360"/>
      </w:pPr>
      <w:rPr>
        <w:rFonts w:ascii="Noto Sans Symbols" w:eastAsia="Noto Sans Symbols" w:hAnsi="Noto Sans Symbols" w:cs="Noto Sans Symbols"/>
      </w:rPr>
    </w:lvl>
    <w:lvl w:ilvl="3">
      <w:start w:val="1"/>
      <w:numFmt w:val="bullet"/>
      <w:lvlText w:val="●"/>
      <w:lvlJc w:val="left"/>
      <w:pPr>
        <w:ind w:left="3195" w:hanging="360"/>
      </w:pPr>
      <w:rPr>
        <w:rFonts w:ascii="Noto Sans Symbols" w:eastAsia="Noto Sans Symbols" w:hAnsi="Noto Sans Symbols" w:cs="Noto Sans Symbols"/>
      </w:rPr>
    </w:lvl>
    <w:lvl w:ilvl="4">
      <w:start w:val="1"/>
      <w:numFmt w:val="bullet"/>
      <w:lvlText w:val="o"/>
      <w:lvlJc w:val="left"/>
      <w:pPr>
        <w:ind w:left="3915" w:hanging="360"/>
      </w:pPr>
      <w:rPr>
        <w:rFonts w:ascii="Courier New" w:eastAsia="Courier New" w:hAnsi="Courier New" w:cs="Courier New"/>
      </w:rPr>
    </w:lvl>
    <w:lvl w:ilvl="5">
      <w:start w:val="1"/>
      <w:numFmt w:val="bullet"/>
      <w:lvlText w:val="▪"/>
      <w:lvlJc w:val="left"/>
      <w:pPr>
        <w:ind w:left="4635" w:hanging="360"/>
      </w:pPr>
      <w:rPr>
        <w:rFonts w:ascii="Noto Sans Symbols" w:eastAsia="Noto Sans Symbols" w:hAnsi="Noto Sans Symbols" w:cs="Noto Sans Symbols"/>
      </w:rPr>
    </w:lvl>
    <w:lvl w:ilvl="6">
      <w:start w:val="1"/>
      <w:numFmt w:val="bullet"/>
      <w:lvlText w:val="●"/>
      <w:lvlJc w:val="left"/>
      <w:pPr>
        <w:ind w:left="5355" w:hanging="360"/>
      </w:pPr>
      <w:rPr>
        <w:rFonts w:ascii="Noto Sans Symbols" w:eastAsia="Noto Sans Symbols" w:hAnsi="Noto Sans Symbols" w:cs="Noto Sans Symbols"/>
      </w:rPr>
    </w:lvl>
    <w:lvl w:ilvl="7">
      <w:start w:val="1"/>
      <w:numFmt w:val="bullet"/>
      <w:lvlText w:val="o"/>
      <w:lvlJc w:val="left"/>
      <w:pPr>
        <w:ind w:left="6075" w:hanging="360"/>
      </w:pPr>
      <w:rPr>
        <w:rFonts w:ascii="Courier New" w:eastAsia="Courier New" w:hAnsi="Courier New" w:cs="Courier New"/>
      </w:rPr>
    </w:lvl>
    <w:lvl w:ilvl="8">
      <w:start w:val="1"/>
      <w:numFmt w:val="bullet"/>
      <w:lvlText w:val="▪"/>
      <w:lvlJc w:val="left"/>
      <w:pPr>
        <w:ind w:left="6795" w:hanging="360"/>
      </w:pPr>
      <w:rPr>
        <w:rFonts w:ascii="Noto Sans Symbols" w:eastAsia="Noto Sans Symbols" w:hAnsi="Noto Sans Symbols" w:cs="Noto Sans Symbols"/>
      </w:rPr>
    </w:lvl>
  </w:abstractNum>
  <w:abstractNum w:abstractNumId="1" w15:restartNumberingAfterBreak="0">
    <w:nsid w:val="0C4D1B0E"/>
    <w:multiLevelType w:val="multilevel"/>
    <w:tmpl w:val="3B4AE3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C966D4"/>
    <w:multiLevelType w:val="multilevel"/>
    <w:tmpl w:val="8D047BF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57268CF"/>
    <w:multiLevelType w:val="multilevel"/>
    <w:tmpl w:val="391EC6EE"/>
    <w:lvl w:ilvl="0">
      <w:start w:val="7"/>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6B67777"/>
    <w:multiLevelType w:val="multilevel"/>
    <w:tmpl w:val="C8A6000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C8D022C"/>
    <w:multiLevelType w:val="multilevel"/>
    <w:tmpl w:val="E3861C0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1706C1E"/>
    <w:multiLevelType w:val="multilevel"/>
    <w:tmpl w:val="1C564F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A583F0A"/>
    <w:multiLevelType w:val="multilevel"/>
    <w:tmpl w:val="3120279A"/>
    <w:lvl w:ilvl="0">
      <w:start w:val="1"/>
      <w:numFmt w:val="lowerLetter"/>
      <w:pStyle w:val="BodyText2"/>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FAF059C"/>
    <w:multiLevelType w:val="multilevel"/>
    <w:tmpl w:val="A9BAD1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8DA3158"/>
    <w:multiLevelType w:val="multilevel"/>
    <w:tmpl w:val="753CFB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40663FB2"/>
    <w:multiLevelType w:val="multilevel"/>
    <w:tmpl w:val="C7FC8DFA"/>
    <w:lvl w:ilvl="0">
      <w:start w:val="1"/>
      <w:numFmt w:val="lowerLetter"/>
      <w:pStyle w:val="ListBullet2"/>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42BB5446"/>
    <w:multiLevelType w:val="multilevel"/>
    <w:tmpl w:val="85F23134"/>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rFonts w:ascii="Wingdings" w:hAnsi="Wingdings"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3AA208B"/>
    <w:multiLevelType w:val="multilevel"/>
    <w:tmpl w:val="35F214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5A3421E"/>
    <w:multiLevelType w:val="multilevel"/>
    <w:tmpl w:val="8D047BF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66E1FED"/>
    <w:multiLevelType w:val="multilevel"/>
    <w:tmpl w:val="F58A5A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4673EAB"/>
    <w:multiLevelType w:val="multilevel"/>
    <w:tmpl w:val="8D047BF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7053182"/>
    <w:multiLevelType w:val="multilevel"/>
    <w:tmpl w:val="E54878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E565F4A"/>
    <w:multiLevelType w:val="multilevel"/>
    <w:tmpl w:val="EA3CA0C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68524D36"/>
    <w:multiLevelType w:val="multilevel"/>
    <w:tmpl w:val="874A8E8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700D7A1C"/>
    <w:multiLevelType w:val="multilevel"/>
    <w:tmpl w:val="ADBA49F6"/>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15:restartNumberingAfterBreak="0">
    <w:nsid w:val="7DE16550"/>
    <w:multiLevelType w:val="multilevel"/>
    <w:tmpl w:val="19145D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57556121">
    <w:abstractNumId w:val="0"/>
  </w:num>
  <w:num w:numId="2" w16cid:durableId="1884555084">
    <w:abstractNumId w:val="10"/>
  </w:num>
  <w:num w:numId="3" w16cid:durableId="1157266668">
    <w:abstractNumId w:val="7"/>
  </w:num>
  <w:num w:numId="4" w16cid:durableId="1106970721">
    <w:abstractNumId w:val="13"/>
  </w:num>
  <w:num w:numId="5" w16cid:durableId="1831289895">
    <w:abstractNumId w:val="5"/>
  </w:num>
  <w:num w:numId="6" w16cid:durableId="255286719">
    <w:abstractNumId w:val="1"/>
  </w:num>
  <w:num w:numId="7" w16cid:durableId="1894458799">
    <w:abstractNumId w:val="4"/>
  </w:num>
  <w:num w:numId="8" w16cid:durableId="778331847">
    <w:abstractNumId w:val="19"/>
  </w:num>
  <w:num w:numId="9" w16cid:durableId="1723554436">
    <w:abstractNumId w:val="18"/>
  </w:num>
  <w:num w:numId="10" w16cid:durableId="122818986">
    <w:abstractNumId w:val="20"/>
  </w:num>
  <w:num w:numId="11" w16cid:durableId="510679489">
    <w:abstractNumId w:val="6"/>
  </w:num>
  <w:num w:numId="12" w16cid:durableId="753866153">
    <w:abstractNumId w:val="9"/>
  </w:num>
  <w:num w:numId="13" w16cid:durableId="751464857">
    <w:abstractNumId w:val="11"/>
  </w:num>
  <w:num w:numId="14" w16cid:durableId="1847399106">
    <w:abstractNumId w:val="12"/>
  </w:num>
  <w:num w:numId="15" w16cid:durableId="1870293684">
    <w:abstractNumId w:val="16"/>
  </w:num>
  <w:num w:numId="16" w16cid:durableId="418255428">
    <w:abstractNumId w:val="17"/>
  </w:num>
  <w:num w:numId="17" w16cid:durableId="1345008970">
    <w:abstractNumId w:val="8"/>
  </w:num>
  <w:num w:numId="18" w16cid:durableId="1850481847">
    <w:abstractNumId w:val="14"/>
  </w:num>
  <w:num w:numId="19" w16cid:durableId="1684280863">
    <w:abstractNumId w:val="2"/>
  </w:num>
  <w:num w:numId="20" w16cid:durableId="817454028">
    <w:abstractNumId w:val="15"/>
  </w:num>
  <w:num w:numId="21" w16cid:durableId="8867197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6F8"/>
    <w:rsid w:val="000179B2"/>
    <w:rsid w:val="000661A8"/>
    <w:rsid w:val="000966A2"/>
    <w:rsid w:val="00135A9C"/>
    <w:rsid w:val="001749ED"/>
    <w:rsid w:val="001B702C"/>
    <w:rsid w:val="00221D2F"/>
    <w:rsid w:val="00232A64"/>
    <w:rsid w:val="002367DD"/>
    <w:rsid w:val="002706F8"/>
    <w:rsid w:val="0027395E"/>
    <w:rsid w:val="002E15FE"/>
    <w:rsid w:val="002F6715"/>
    <w:rsid w:val="00317484"/>
    <w:rsid w:val="00342854"/>
    <w:rsid w:val="00345155"/>
    <w:rsid w:val="003B13E8"/>
    <w:rsid w:val="003B6051"/>
    <w:rsid w:val="003E1C5C"/>
    <w:rsid w:val="004069EB"/>
    <w:rsid w:val="00422E5A"/>
    <w:rsid w:val="004E5432"/>
    <w:rsid w:val="004F524C"/>
    <w:rsid w:val="00557AEB"/>
    <w:rsid w:val="00562EA9"/>
    <w:rsid w:val="00565300"/>
    <w:rsid w:val="005C35BB"/>
    <w:rsid w:val="005F5F7C"/>
    <w:rsid w:val="00662FF4"/>
    <w:rsid w:val="00682D93"/>
    <w:rsid w:val="00690FAF"/>
    <w:rsid w:val="006921E0"/>
    <w:rsid w:val="006940B8"/>
    <w:rsid w:val="006F7001"/>
    <w:rsid w:val="006F775B"/>
    <w:rsid w:val="00767CAF"/>
    <w:rsid w:val="007708D3"/>
    <w:rsid w:val="0079682B"/>
    <w:rsid w:val="007D4FFF"/>
    <w:rsid w:val="0081001B"/>
    <w:rsid w:val="00816ADD"/>
    <w:rsid w:val="00864F05"/>
    <w:rsid w:val="008A0712"/>
    <w:rsid w:val="008F52C6"/>
    <w:rsid w:val="00974AF4"/>
    <w:rsid w:val="00AC3A9E"/>
    <w:rsid w:val="00B65DA9"/>
    <w:rsid w:val="00BE7BCE"/>
    <w:rsid w:val="00BF05C0"/>
    <w:rsid w:val="00C33FF1"/>
    <w:rsid w:val="00C719BE"/>
    <w:rsid w:val="00C83E44"/>
    <w:rsid w:val="00D02675"/>
    <w:rsid w:val="00D06889"/>
    <w:rsid w:val="00D168E6"/>
    <w:rsid w:val="00D228C9"/>
    <w:rsid w:val="00D7047B"/>
    <w:rsid w:val="00D7687A"/>
    <w:rsid w:val="00D9172C"/>
    <w:rsid w:val="00D97AA9"/>
    <w:rsid w:val="00DB4E7C"/>
    <w:rsid w:val="00E2571D"/>
    <w:rsid w:val="00EA4628"/>
    <w:rsid w:val="00EA5972"/>
    <w:rsid w:val="00EF258D"/>
    <w:rsid w:val="00F9692A"/>
    <w:rsid w:val="00FE54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CCCACC8"/>
  <w15:docId w15:val="{BD21F3C1-55A8-45C0-AB95-36DF2D74E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45641"/>
    <w:rPr>
      <w:rFonts w:eastAsia="Times New Roman" w:cs="Times New Roman"/>
      <w:szCs w:val="24"/>
      <w:lang w:eastAsia="en-US"/>
    </w:rPr>
  </w:style>
  <w:style w:type="paragraph" w:styleId="Heading1">
    <w:name w:val="heading 1"/>
    <w:basedOn w:val="Normal"/>
    <w:next w:val="Normal"/>
    <w:link w:val="Heading1Char"/>
    <w:qFormat/>
    <w:rsid w:val="00A917CE"/>
    <w:pPr>
      <w:spacing w:before="60" w:after="160"/>
      <w:outlineLvl w:val="0"/>
    </w:pPr>
    <w:rPr>
      <w:b/>
      <w:bCs/>
      <w:spacing w:val="12"/>
      <w:kern w:val="2"/>
      <w:sz w:val="22"/>
      <w:szCs w:val="32"/>
    </w:rPr>
  </w:style>
  <w:style w:type="paragraph" w:styleId="Heading2">
    <w:name w:val="heading 2"/>
    <w:basedOn w:val="Normal"/>
    <w:next w:val="Normal"/>
    <w:link w:val="Heading2Char"/>
    <w:qFormat/>
    <w:rsid w:val="00F2726B"/>
    <w:pPr>
      <w:keepNext/>
      <w:tabs>
        <w:tab w:val="left" w:pos="680"/>
      </w:tabs>
      <w:spacing w:before="120" w:after="60"/>
      <w:outlineLvl w:val="1"/>
    </w:pPr>
    <w:rPr>
      <w:b/>
      <w:bCs/>
      <w:iCs/>
      <w:spacing w:val="8"/>
      <w:sz w:val="20"/>
      <w:szCs w:val="28"/>
    </w:rPr>
  </w:style>
  <w:style w:type="paragraph" w:styleId="Heading3">
    <w:name w:val="heading 3"/>
    <w:basedOn w:val="Normal"/>
    <w:next w:val="Normal"/>
    <w:qFormat/>
    <w:rsid w:val="00620DA5"/>
    <w:pPr>
      <w:keepNext/>
      <w:spacing w:before="60" w:after="60"/>
      <w:outlineLvl w:val="2"/>
    </w:pPr>
    <w:rPr>
      <w:rFonts w:cs="Arial"/>
      <w:b/>
      <w:bCs/>
      <w:spacing w:val="8"/>
      <w:szCs w:val="26"/>
    </w:rPr>
  </w:style>
  <w:style w:type="paragraph" w:styleId="Heading4">
    <w:name w:val="heading 4"/>
    <w:basedOn w:val="Normal"/>
    <w:next w:val="Normal"/>
    <w:qFormat/>
    <w:rsid w:val="00620DA5"/>
    <w:pPr>
      <w:keepNext/>
      <w:spacing w:before="40" w:after="40"/>
      <w:outlineLvl w:val="3"/>
    </w:pPr>
    <w:rPr>
      <w:b/>
      <w:bCs/>
      <w:spacing w:val="4"/>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sid w:val="00D45641"/>
    <w:rPr>
      <w:color w:val="0000FF"/>
      <w:u w:val="single"/>
    </w:rPr>
  </w:style>
  <w:style w:type="character" w:customStyle="1" w:styleId="Heading1Char">
    <w:name w:val="Heading 1 Char"/>
    <w:link w:val="Heading1"/>
    <w:qFormat/>
    <w:rsid w:val="00811169"/>
    <w:rPr>
      <w:rFonts w:ascii="Arial" w:hAnsi="Arial" w:cs="Arial"/>
      <w:b/>
      <w:bCs/>
      <w:spacing w:val="12"/>
      <w:kern w:val="2"/>
      <w:sz w:val="22"/>
      <w:szCs w:val="32"/>
      <w:lang w:eastAsia="en-US"/>
    </w:rPr>
  </w:style>
  <w:style w:type="character" w:customStyle="1" w:styleId="Heading2Char">
    <w:name w:val="Heading 2 Char"/>
    <w:link w:val="Heading2"/>
    <w:qFormat/>
    <w:rsid w:val="00F2726B"/>
    <w:rPr>
      <w:rFonts w:ascii="Arial" w:hAnsi="Arial" w:cs="Arial"/>
      <w:b/>
      <w:bCs/>
      <w:iCs/>
      <w:spacing w:val="8"/>
      <w:szCs w:val="28"/>
    </w:rPr>
  </w:style>
  <w:style w:type="character" w:styleId="CommentReference">
    <w:name w:val="annotation reference"/>
    <w:basedOn w:val="DefaultParagraphFont"/>
    <w:qFormat/>
    <w:locked/>
    <w:rsid w:val="00027DE3"/>
    <w:rPr>
      <w:sz w:val="16"/>
      <w:szCs w:val="16"/>
    </w:rPr>
  </w:style>
  <w:style w:type="character" w:customStyle="1" w:styleId="BodyText2Char">
    <w:name w:val="Body Text 2 Char"/>
    <w:link w:val="BodyText2"/>
    <w:qFormat/>
    <w:rsid w:val="006912BA"/>
    <w:rPr>
      <w:rFonts w:ascii="Arial" w:hAnsi="Arial"/>
      <w:sz w:val="18"/>
      <w:szCs w:val="24"/>
      <w:lang w:eastAsia="en-US"/>
    </w:rPr>
  </w:style>
  <w:style w:type="character" w:customStyle="1" w:styleId="CommentTextChar">
    <w:name w:val="Comment Text Char"/>
    <w:basedOn w:val="DefaultParagraphFont"/>
    <w:link w:val="CommentText"/>
    <w:qFormat/>
    <w:rsid w:val="00027DE3"/>
    <w:rPr>
      <w:rFonts w:ascii="Arial" w:hAnsi="Arial"/>
      <w:lang w:val="en-AU"/>
    </w:rPr>
  </w:style>
  <w:style w:type="character" w:customStyle="1" w:styleId="CommentSubjectChar">
    <w:name w:val="Comment Subject Char"/>
    <w:basedOn w:val="CommentTextChar"/>
    <w:link w:val="CommentSubject"/>
    <w:qFormat/>
    <w:rsid w:val="00027DE3"/>
    <w:rPr>
      <w:rFonts w:ascii="Arial" w:hAnsi="Arial"/>
      <w:b/>
      <w:bCs/>
      <w:lang w:val="en-AU"/>
    </w:rPr>
  </w:style>
  <w:style w:type="character" w:customStyle="1" w:styleId="BalloonTextChar">
    <w:name w:val="Balloon Text Char"/>
    <w:basedOn w:val="DefaultParagraphFont"/>
    <w:link w:val="BalloonText"/>
    <w:qFormat/>
    <w:rsid w:val="00027DE3"/>
    <w:rPr>
      <w:rFonts w:ascii="Tahoma" w:hAnsi="Tahoma" w:cs="Tahoma"/>
      <w:sz w:val="16"/>
      <w:szCs w:val="16"/>
      <w:lang w:val="en-AU"/>
    </w:rPr>
  </w:style>
  <w:style w:type="character" w:customStyle="1" w:styleId="FooterChar">
    <w:name w:val="Footer Char"/>
    <w:basedOn w:val="DefaultParagraphFont"/>
    <w:link w:val="Footer"/>
    <w:uiPriority w:val="99"/>
    <w:qFormat/>
    <w:rsid w:val="00796D87"/>
    <w:rPr>
      <w:rFonts w:ascii="Book Antiqua" w:hAnsi="Book Antiqua"/>
      <w:lang w:val="en-GB" w:eastAsia="en-US"/>
    </w:rPr>
  </w:style>
  <w:style w:type="character" w:styleId="Strong">
    <w:name w:val="Strong"/>
    <w:basedOn w:val="DefaultParagraphFont"/>
    <w:uiPriority w:val="22"/>
    <w:qFormat/>
    <w:locked/>
    <w:rsid w:val="00241ABE"/>
    <w:rPr>
      <w:b/>
      <w:bC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ocked/>
    <w:rsid w:val="00755A06"/>
    <w:pPr>
      <w:tabs>
        <w:tab w:val="left" w:pos="680"/>
      </w:tabs>
      <w:spacing w:before="60" w:after="60"/>
      <w:ind w:left="680" w:hanging="680"/>
    </w:pPr>
    <w:rPr>
      <w:rFonts w:cs="Arial"/>
      <w:szCs w:val="18"/>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rPr>
  </w:style>
  <w:style w:type="paragraph" w:customStyle="1" w:styleId="Index">
    <w:name w:val="Index"/>
    <w:basedOn w:val="Normal"/>
    <w:qFormat/>
    <w:pPr>
      <w:suppressLineNumbers/>
    </w:pPr>
    <w:rPr>
      <w:rFonts w:cs="Lucida Sans"/>
    </w:rPr>
  </w:style>
  <w:style w:type="paragraph" w:styleId="ListBullet">
    <w:name w:val="List Bullet"/>
    <w:basedOn w:val="Normal"/>
    <w:qFormat/>
    <w:rsid w:val="00AA7F9F"/>
    <w:pPr>
      <w:numPr>
        <w:numId w:val="1"/>
      </w:numPr>
      <w:spacing w:after="40"/>
    </w:pPr>
  </w:style>
  <w:style w:type="paragraph" w:styleId="ListBullet2">
    <w:name w:val="List Bullet 2"/>
    <w:basedOn w:val="Normal"/>
    <w:qFormat/>
    <w:rsid w:val="00AE2520"/>
    <w:pPr>
      <w:numPr>
        <w:numId w:val="2"/>
      </w:numPr>
    </w:pPr>
  </w:style>
  <w:style w:type="paragraph" w:customStyle="1" w:styleId="HeaderandFooter">
    <w:name w:val="Header and Footer"/>
    <w:basedOn w:val="Normal"/>
    <w:qFormat/>
  </w:style>
  <w:style w:type="paragraph" w:styleId="Header">
    <w:name w:val="header"/>
    <w:basedOn w:val="Normal"/>
    <w:rsid w:val="00264602"/>
    <w:pPr>
      <w:tabs>
        <w:tab w:val="center" w:pos="4153"/>
        <w:tab w:val="right" w:pos="8306"/>
      </w:tabs>
    </w:pPr>
  </w:style>
  <w:style w:type="paragraph" w:styleId="Footer">
    <w:name w:val="footer"/>
    <w:basedOn w:val="Normal"/>
    <w:link w:val="FooterChar"/>
    <w:uiPriority w:val="99"/>
    <w:locked/>
    <w:rsid w:val="00D45641"/>
    <w:pPr>
      <w:tabs>
        <w:tab w:val="center" w:pos="4153"/>
        <w:tab w:val="right" w:pos="8306"/>
      </w:tabs>
    </w:pPr>
    <w:rPr>
      <w:rFonts w:ascii="Book Antiqua" w:hAnsi="Book Antiqua"/>
      <w:sz w:val="20"/>
      <w:szCs w:val="20"/>
      <w:lang w:val="en-GB"/>
    </w:rPr>
  </w:style>
  <w:style w:type="paragraph" w:customStyle="1" w:styleId="ColorfulList-Accent11">
    <w:name w:val="Colorful List - Accent 11"/>
    <w:basedOn w:val="Normal"/>
    <w:qFormat/>
    <w:rsid w:val="00FA4801"/>
    <w:pPr>
      <w:spacing w:after="200" w:line="276" w:lineRule="auto"/>
      <w:ind w:left="720"/>
    </w:pPr>
    <w:rPr>
      <w:rFonts w:ascii="Calibri" w:hAnsi="Calibri"/>
      <w:sz w:val="22"/>
      <w:szCs w:val="22"/>
      <w:lang w:val="en-US"/>
    </w:rPr>
  </w:style>
  <w:style w:type="paragraph" w:styleId="BodyText2">
    <w:name w:val="Body Text 2"/>
    <w:basedOn w:val="Normal"/>
    <w:link w:val="BodyText2Char"/>
    <w:qFormat/>
    <w:locked/>
    <w:rsid w:val="006912BA"/>
    <w:pPr>
      <w:numPr>
        <w:numId w:val="3"/>
      </w:numPr>
      <w:spacing w:before="60" w:after="60"/>
    </w:pPr>
  </w:style>
  <w:style w:type="paragraph" w:styleId="CommentText">
    <w:name w:val="annotation text"/>
    <w:basedOn w:val="Normal"/>
    <w:link w:val="CommentTextChar"/>
    <w:qFormat/>
    <w:locked/>
    <w:rsid w:val="00027DE3"/>
    <w:rPr>
      <w:sz w:val="20"/>
      <w:szCs w:val="20"/>
    </w:rPr>
  </w:style>
  <w:style w:type="paragraph" w:styleId="CommentSubject">
    <w:name w:val="annotation subject"/>
    <w:basedOn w:val="CommentText"/>
    <w:next w:val="CommentText"/>
    <w:link w:val="CommentSubjectChar"/>
    <w:qFormat/>
    <w:locked/>
    <w:rsid w:val="00027DE3"/>
    <w:rPr>
      <w:b/>
      <w:bCs/>
    </w:rPr>
  </w:style>
  <w:style w:type="paragraph" w:styleId="BalloonText">
    <w:name w:val="Balloon Text"/>
    <w:basedOn w:val="Normal"/>
    <w:link w:val="BalloonTextChar"/>
    <w:qFormat/>
    <w:locked/>
    <w:rsid w:val="00027DE3"/>
    <w:rPr>
      <w:rFonts w:ascii="Tahoma" w:hAnsi="Tahoma" w:cs="Tahoma"/>
      <w:sz w:val="16"/>
      <w:szCs w:val="16"/>
    </w:rPr>
  </w:style>
  <w:style w:type="paragraph" w:styleId="ListParagraph">
    <w:name w:val="List Paragraph"/>
    <w:basedOn w:val="Normal"/>
    <w:uiPriority w:val="34"/>
    <w:qFormat/>
    <w:rsid w:val="00975046"/>
    <w:pPr>
      <w:ind w:left="720"/>
      <w:contextualSpacing/>
    </w:pPr>
  </w:style>
  <w:style w:type="paragraph" w:styleId="Revision">
    <w:name w:val="Revision"/>
    <w:uiPriority w:val="99"/>
    <w:semiHidden/>
    <w:qFormat/>
    <w:rsid w:val="00972A6A"/>
    <w:rPr>
      <w:rFonts w:eastAsia="Times New Roman" w:cs="Times New Roman"/>
      <w:szCs w:val="24"/>
      <w:lang w:eastAsia="en-US"/>
    </w:rPr>
  </w:style>
  <w:style w:type="table" w:styleId="TableGrid">
    <w:name w:val="Table Grid"/>
    <w:basedOn w:val="TableNormal"/>
    <w:semiHidden/>
    <w:rsid w:val="00D456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13" w:type="dxa"/>
        <w:left w:w="113" w:type="dxa"/>
        <w:bottom w:w="113" w:type="dxa"/>
        <w:right w:w="113" w:type="dxa"/>
      </w:tblCellMar>
    </w:tblPr>
  </w:style>
  <w:style w:type="table" w:customStyle="1" w:styleId="a0">
    <w:name w:val="a0"/>
    <w:basedOn w:val="TableNormal"/>
    <w:tblPr>
      <w:tblStyleRowBandSize w:val="1"/>
      <w:tblStyleColBandSize w:val="1"/>
    </w:tblPr>
  </w:style>
  <w:style w:type="table" w:customStyle="1" w:styleId="a1">
    <w:name w:val="a1"/>
    <w:basedOn w:val="TableNormal"/>
    <w:tblPr>
      <w:tblStyleRowBandSize w:val="1"/>
      <w:tblStyleColBandSize w:val="1"/>
      <w:tblCellMar>
        <w:bottom w:w="57" w:type="dxa"/>
      </w:tblCellMar>
    </w:tblPr>
  </w:style>
  <w:style w:type="table" w:customStyle="1" w:styleId="a2">
    <w:name w:val="a2"/>
    <w:basedOn w:val="TableNormal"/>
    <w:tblPr>
      <w:tblStyleRowBandSize w:val="1"/>
      <w:tblStyleColBandSize w:val="1"/>
      <w:tblCellMar>
        <w:bottom w:w="57" w:type="dxa"/>
      </w:tblCellMar>
    </w:tblPr>
  </w:style>
  <w:style w:type="table" w:customStyle="1" w:styleId="a3">
    <w:name w:val="a3"/>
    <w:basedOn w:val="TableNormal"/>
    <w:tblPr>
      <w:tblStyleRowBandSize w:val="1"/>
      <w:tblStyleColBandSize w:val="1"/>
    </w:tblPr>
  </w:style>
  <w:style w:type="table" w:customStyle="1" w:styleId="a4">
    <w:name w:val="a4"/>
    <w:basedOn w:val="TableNormal"/>
    <w:tblPr>
      <w:tblStyleRowBandSize w:val="1"/>
      <w:tblStyleColBandSize w:val="1"/>
    </w:tblPr>
  </w:style>
  <w:style w:type="table" w:customStyle="1" w:styleId="a5">
    <w:name w:val="a5"/>
    <w:basedOn w:val="TableNormal"/>
    <w:tblPr>
      <w:tblStyleRowBandSize w:val="1"/>
      <w:tblStyleColBandSize w:val="1"/>
      <w:tblCellMar>
        <w:left w:w="0" w:type="dxa"/>
        <w:right w:w="0" w:type="dxa"/>
      </w:tblCellMar>
    </w:tblPr>
  </w:style>
  <w:style w:type="table" w:customStyle="1" w:styleId="a6">
    <w:name w:val="a6"/>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inside.wh.org.au/departmentsandservices/subacute_aged_care_services/Pages/Ortho-Geriatric-Service-(OGS).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ub-Section xmlns="dc6cac9b-2ccd-49d5-8be3-761452c0f720">CC4 Care Assessment/Planning/Delivery</Sub-Section>
    <TaxCatchAll xmlns="dc6cac9b-2ccd-49d5-8be3-761452c0f720"/>
    <Board_x0020_Committee xmlns="dc6cac9b-2ccd-49d5-8be3-761452c0f720" xsi:nil="true"/>
    <Section xmlns="dc6cac9b-2ccd-49d5-8be3-761452c0f720">CC Connecting Care</Section>
    <Best_x0020_Care xmlns="dc6cac9b-2ccd-49d5-8be3-761452c0f720">Right Care</Best_x0020_Care>
    <PublishingPageReviewDate xmlns="http://schemas.microsoft.com/sharepoint/v3">2025-01-30T13:00:00+00:00</PublishingPageReviewDate>
    <Code xmlns="dc6cac9b-2ccd-49d5-8be3-761452c0f720" xsi:nil="true"/>
    <EMR xmlns="dc6cac9b-2ccd-49d5-8be3-761452c0f720">No</EMR>
    <Manual xmlns="dc6cac9b-2ccd-49d5-8be3-761452c0f720">Organisational Guideline</Manual>
    <Directorate xmlns="dc6cac9b-2ccd-49d5-8be3-761452c0f720">ED Operations</Directorate>
    <New_x0020_Code xmlns="dc6cac9b-2ccd-49d5-8be3-761452c0f720">OG-CC4 Guideline for the Management of Suspected and Confirmed Hip Fractures</New_x0020_Code>
    <EQuIPNational_x0020_Standard xmlns="dc6cac9b-2ccd-49d5-8be3-761452c0f720">Responding to Deterioration</EQuIPNational_x0020_Standard>
    <ol_Department xmlns="http://schemas.microsoft.com/sharepoint/v3">Orthogeriatrics</ol_Department>
    <Unit xmlns="dc6cac9b-2ccd-49d5-8be3-761452c0f720">Orthogeriatrics</Unit>
    <WH_x0020_Issue_x0020_Date xmlns="dc6cac9b-2ccd-49d5-8be3-761452c0f720">2021-12-31T13:00:00+00:00</WH_x0020_Issue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9b0984f4-4f0c-4e79-baff-19c287312ad6" ContentTypeId="0x010100F86F080158C6F84B8444E65442ED18A3" PreviousValue="true"/>
</file>

<file path=customXml/item4.xml><?xml version="1.0" encoding="utf-8"?>
<ct:contentTypeSchema xmlns:ct="http://schemas.microsoft.com/office/2006/metadata/contentType" xmlns:ma="http://schemas.microsoft.com/office/2006/metadata/properties/metaAttributes" ct:_="" ma:_="" ma:contentTypeName="WH Policy and Procedure" ma:contentTypeID="0x010100F86F080158C6F84B8444E65442ED18A300207AA883EF31504B849FC5704A813FE2" ma:contentTypeVersion="151" ma:contentTypeDescription="" ma:contentTypeScope="" ma:versionID="6f44a389ed0bc465e04e9a8a66933619">
  <xsd:schema xmlns:xsd="http://www.w3.org/2001/XMLSchema" xmlns:xs="http://www.w3.org/2001/XMLSchema" xmlns:p="http://schemas.microsoft.com/office/2006/metadata/properties" xmlns:ns1="http://schemas.microsoft.com/sharepoint/v3" xmlns:ns2="dc6cac9b-2ccd-49d5-8be3-761452c0f720" targetNamespace="http://schemas.microsoft.com/office/2006/metadata/properties" ma:root="true" ma:fieldsID="cc4b820df7e07a685e995fb1cc7bb9ab" ns1:_="" ns2:_="">
    <xsd:import namespace="http://schemas.microsoft.com/sharepoint/v3"/>
    <xsd:import namespace="dc6cac9b-2ccd-49d5-8be3-761452c0f720"/>
    <xsd:element name="properties">
      <xsd:complexType>
        <xsd:sequence>
          <xsd:element name="documentManagement">
            <xsd:complexType>
              <xsd:all>
                <xsd:element ref="ns2:New_x0020_Code" minOccurs="0"/>
                <xsd:element ref="ns2:Code" minOccurs="0"/>
                <xsd:element ref="ns2:Section"/>
                <xsd:element ref="ns2:Sub-Section" minOccurs="0"/>
                <xsd:element ref="ns2:EMR" minOccurs="0"/>
                <xsd:element ref="ns2:WH_x0020_Issue_x0020_Date" minOccurs="0"/>
                <xsd:element ref="ns1:PublishingPageReviewDate" minOccurs="0"/>
                <xsd:element ref="ns2:Manual" minOccurs="0"/>
                <xsd:element ref="ns1:ol_Department" minOccurs="0"/>
                <xsd:element ref="ns2:Unit" minOccurs="0"/>
                <xsd:element ref="ns2:Directorate"/>
                <xsd:element ref="ns2:EQuIPNational_x0020_Standard" minOccurs="0"/>
                <xsd:element ref="ns2:Best_x0020_Care" minOccurs="0"/>
                <xsd:element ref="ns2:Board_x0020_Committee"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PageReviewDate" ma:index="8" nillable="true" ma:displayName="Review Date" ma:format="DateOnly" ma:internalName="PublishingPageReviewDate">
      <xsd:simpleType>
        <xsd:restriction base="dms:DateTime"/>
      </xsd:simpleType>
    </xsd:element>
    <xsd:element name="ol_Department" ma:index="10" nillable="true" ma:displayName="Department" ma:internalName="ol_Departmen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6cac9b-2ccd-49d5-8be3-761452c0f720" elementFormDefault="qualified">
    <xsd:import namespace="http://schemas.microsoft.com/office/2006/documentManagement/types"/>
    <xsd:import namespace="http://schemas.microsoft.com/office/infopath/2007/PartnerControls"/>
    <xsd:element name="New_x0020_Code" ma:index="2" nillable="true" ma:displayName="New Code" ma:internalName="New_x0020_Code">
      <xsd:simpleType>
        <xsd:restriction base="dms:Text">
          <xsd:maxLength value="255"/>
        </xsd:restriction>
      </xsd:simpleType>
    </xsd:element>
    <xsd:element name="Code" ma:index="3" nillable="true" ma:displayName="Code" ma:internalName="Code">
      <xsd:simpleType>
        <xsd:restriction base="dms:Text">
          <xsd:maxLength value="255"/>
        </xsd:restriction>
      </xsd:simpleType>
    </xsd:element>
    <xsd:element name="Section" ma:index="4" ma:displayName="Section" ma:format="Dropdown" ma:internalName="Section">
      <xsd:simpleType>
        <xsd:restriction base="dms:Choice">
          <xsd:enumeration value="GC Growing &amp; Improving Care"/>
          <xsd:enumeration value="CC Connecting Care"/>
          <xsd:enumeration value="CM Communicating Clearly"/>
          <xsd:enumeration value="RS Socially Responsible &amp; Sustainable"/>
          <xsd:enumeration value="EP Empowering Our People"/>
        </xsd:restriction>
      </xsd:simpleType>
    </xsd:element>
    <xsd:element name="Sub-Section" ma:index="5" nillable="true" ma:displayName="Sub-Section" ma:format="Dropdown" ma:internalName="Sub_x002d_Section">
      <xsd:simpleType>
        <xsd:restriction base="dms:Choice">
          <xsd:enumeration value="GC1 Communicating for Safety"/>
          <xsd:enumeration value="GC2 Comprehensive Care"/>
          <xsd:enumeration value="GC3 Clinical Procedures"/>
          <xsd:enumeration value="GC4 Deteriorating Patient"/>
          <xsd:enumeration value="GC5 Infection Management"/>
          <xsd:enumeration value="GC6 Medication Management"/>
          <xsd:enumeration value="GC7 Research &amp; Quality Systems"/>
          <xsd:enumeration value="GC8 Blood Management"/>
          <xsd:enumeration value="CC1 Prevention/Care in the Community"/>
          <xsd:enumeration value="CC2 Access"/>
          <xsd:enumeration value="CC3 Investigation"/>
          <xsd:enumeration value="CC4 Care Assessment/Planning/Delivery"/>
          <xsd:enumeration value="CC5 Discharge/Transition"/>
          <xsd:enumeration value="CM1 Listening &amp; Responding to Consumers"/>
          <xsd:enumeration value="CM2 Health Equity"/>
          <xsd:enumeration value="CM3 Health Care Rights &amp; Responsibilities"/>
          <xsd:enumeration value="CM4 Information Technology"/>
          <xsd:enumeration value="CM5 Information Management"/>
          <xsd:enumeration value="RS1 Financial Management &amp; Delegation"/>
          <xsd:enumeration value="RS2 Governance"/>
          <xsd:enumeration value="RS3 Volunteers/Fundraising"/>
          <xsd:enumeration value="RS4 Buildings, Equipment &amp; Services"/>
          <xsd:enumeration value="RS5 Environment of Care"/>
          <xsd:enumeration value="EP1 Workforce Planning &amp; Recruitment"/>
          <xsd:enumeration value="EP2 Workforce Culture &amp; Wellbeing"/>
          <xsd:enumeration value="EP3 Continuing Employment &amp; Performance"/>
          <xsd:enumeration value="EP4 Occupational Safety"/>
          <xsd:enumeration value="EP5 Learning &amp; Development"/>
        </xsd:restriction>
      </xsd:simpleType>
    </xsd:element>
    <xsd:element name="EMR" ma:index="6" nillable="true" ma:displayName="EMR" ma:format="Dropdown" ma:internalName="EMR">
      <xsd:simpleType>
        <xsd:restriction base="dms:Choice">
          <xsd:enumeration value="Yes"/>
          <xsd:enumeration value="No"/>
        </xsd:restriction>
      </xsd:simpleType>
    </xsd:element>
    <xsd:element name="WH_x0020_Issue_x0020_Date" ma:index="7" nillable="true" ma:displayName="WH Issue Date" ma:format="DateOnly" ma:internalName="WH_x0020_Issue_x0020_Date">
      <xsd:simpleType>
        <xsd:restriction base="dms:DateTime"/>
      </xsd:simpleType>
    </xsd:element>
    <xsd:element name="Manual" ma:index="9" nillable="true" ma:displayName="Manual" ma:format="Dropdown" ma:internalName="Manual">
      <xsd:simpleType>
        <xsd:restriction base="dms:Choice">
          <xsd:enumeration value="Departmental Guideline"/>
          <xsd:enumeration value="Departmental Procedure"/>
          <xsd:enumeration value="Emergency M’ment Plan"/>
          <xsd:enumeration value="Form"/>
          <xsd:enumeration value="Organisational Guideline"/>
          <xsd:enumeration value="Organisational Procedure"/>
          <xsd:enumeration value="Policy"/>
          <xsd:enumeration value="Standing Order"/>
        </xsd:restriction>
      </xsd:simpleType>
    </xsd:element>
    <xsd:element name="Unit" ma:index="11" nillable="true" ma:displayName="Unit" ma:internalName="Unit">
      <xsd:simpleType>
        <xsd:restriction base="dms:Text">
          <xsd:maxLength value="255"/>
        </xsd:restriction>
      </xsd:simpleType>
    </xsd:element>
    <xsd:element name="Directorate" ma:index="12" ma:displayName="Directorate" ma:format="Dropdown" ma:internalName="Directorate">
      <xsd:simpleType>
        <xsd:restriction base="dms:Choice">
          <xsd:enumeration value="Chief Financial Officer"/>
          <xsd:enumeration value="Chief Medical Officer"/>
          <xsd:enumeration value="Community Integration, Allied Health &amp; Service Planning"/>
          <xsd:enumeration value="ED Community Integration, AH &amp; Service Planning"/>
          <xsd:enumeration value="ED Nursing &amp; Midwifery"/>
          <xsd:enumeration value="ED Operations"/>
          <xsd:enumeration value="ED People, Culture &amp; Communications"/>
          <xsd:enumeration value="Finance &amp; Performance"/>
          <xsd:enumeration value="Finance, Capital &amp; Contracts"/>
          <xsd:enumeration value="Information &amp; Performance"/>
          <xsd:enumeration value="Medical Services"/>
          <xsd:enumeration value="Nursing &amp; Midwifery"/>
          <xsd:enumeration value="Office of the CEO"/>
          <xsd:enumeration value="Operations"/>
          <xsd:enumeration value="People, Culture &amp; Communications"/>
          <xsd:enumeration value="ED Strategy &amp; Partnerships"/>
        </xsd:restriction>
      </xsd:simpleType>
    </xsd:element>
    <xsd:element name="EQuIPNational_x0020_Standard" ma:index="13" nillable="true" ma:displayName="National Standards" ma:format="Dropdown" ma:internalName="EQuIPNational_x0020_Standard">
      <xsd:simpleType>
        <xsd:restriction base="dms:Choice">
          <xsd:enumeration value="Clinical Governance"/>
          <xsd:enumeration value="Partnering with Consumers"/>
          <xsd:enumeration value="Healthcare-Associated Infection"/>
          <xsd:enumeration value="Medication Safety"/>
          <xsd:enumeration value="Comprehensive Care"/>
          <xsd:enumeration value="Communicating for Safety"/>
          <xsd:enumeration value="Blood Management"/>
          <xsd:enumeration value="Responding to Deterioration"/>
          <xsd:enumeration value="Blank"/>
        </xsd:restriction>
      </xsd:simpleType>
    </xsd:element>
    <xsd:element name="Best_x0020_Care" ma:index="14" nillable="true" ma:displayName="Best Care" ma:format="Dropdown" ma:internalName="Best_x0020_Care" ma:readOnly="false">
      <xsd:simpleType>
        <xsd:restriction base="dms:Choice">
          <xsd:enumeration value="Person-Centred Care"/>
          <xsd:enumeration value="Co-ordinated Care"/>
          <xsd:enumeration value="Right Care"/>
          <xsd:enumeration value="Safe Care"/>
          <xsd:enumeration value="Supporting Best Care"/>
        </xsd:restriction>
      </xsd:simpleType>
    </xsd:element>
    <xsd:element name="Board_x0020_Committee" ma:index="15" nillable="true" ma:displayName="Board Committee" ma:internalName="Board_x0020_Committee">
      <xsd:simpleType>
        <xsd:restriction base="dms:Text">
          <xsd:maxLength value="255"/>
        </xsd:restriction>
      </xsd:simpleType>
    </xsd:element>
    <xsd:element name="TaxCatchAll" ma:index="16" nillable="true" ma:displayName="Taxonomy Catch All Column" ma:hidden="true" ma:list="{90e6e4d9-4894-4949-a697-abff16ca5185}" ma:internalName="TaxCatchAll" ma:showField="CatchAllData" ma:web="d5bc06a2-c01a-40d4-8e41-f4ee53bcbee7">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90e6e4d9-4894-4949-a697-abff16ca5185}" ma:internalName="TaxCatchAllLabel" ma:readOnly="true" ma:showField="CatchAllDataLabel" ma:web="d5bc06a2-c01a-40d4-8e41-f4ee53bcbe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gTvjduKRFRhLAUJCeRuPyARIxL4g==">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</go:docsCustomData>
</go:gDocsCustomXmlDataStorage>
</file>

<file path=customXml/itemProps1.xml><?xml version="1.0" encoding="utf-8"?>
<ds:datastoreItem xmlns:ds="http://schemas.openxmlformats.org/officeDocument/2006/customXml" ds:itemID="{4B1DCB43-F4C0-4C2C-AFE3-5B806D02D331}">
  <ds:schemaRefs>
    <ds:schemaRef ds:uri="http://schemas.microsoft.com/office/2006/metadata/properties"/>
    <ds:schemaRef ds:uri="http://schemas.microsoft.com/office/infopath/2007/PartnerControls"/>
    <ds:schemaRef ds:uri="dc6cac9b-2ccd-49d5-8be3-761452c0f720"/>
    <ds:schemaRef ds:uri="http://schemas.microsoft.com/sharepoint/v3"/>
  </ds:schemaRefs>
</ds:datastoreItem>
</file>

<file path=customXml/itemProps2.xml><?xml version="1.0" encoding="utf-8"?>
<ds:datastoreItem xmlns:ds="http://schemas.openxmlformats.org/officeDocument/2006/customXml" ds:itemID="{7ED15698-6BEB-4F7F-80A5-2628D89BDC19}">
  <ds:schemaRefs>
    <ds:schemaRef ds:uri="http://schemas.microsoft.com/sharepoint/v3/contenttype/forms"/>
  </ds:schemaRefs>
</ds:datastoreItem>
</file>

<file path=customXml/itemProps3.xml><?xml version="1.0" encoding="utf-8"?>
<ds:datastoreItem xmlns:ds="http://schemas.openxmlformats.org/officeDocument/2006/customXml" ds:itemID="{611B17AB-DD5E-4E52-9A48-EC36E5506BA1}">
  <ds:schemaRefs>
    <ds:schemaRef ds:uri="Microsoft.SharePoint.Taxonomy.ContentTypeSync"/>
  </ds:schemaRefs>
</ds:datastoreItem>
</file>

<file path=customXml/itemProps4.xml><?xml version="1.0" encoding="utf-8"?>
<ds:datastoreItem xmlns:ds="http://schemas.openxmlformats.org/officeDocument/2006/customXml" ds:itemID="{E2F3E8BE-2F39-42C7-8C19-B69360EC6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6cac9b-2ccd-49d5-8be3-761452c0f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2537</Words>
  <Characters>14465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Western Health</Company>
  <LinksUpToDate>false</LinksUpToDate>
  <CharactersWithSpaces>16969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 for the Management of Suspected and Confirmed Hip Fractures</dc:title>
  <dc:creator>formosl</dc:creator>
  <cp:lastModifiedBy>Rees Farrugia, Lauren J</cp:lastModifiedBy>
  <cp:revision>2</cp:revision>
  <cp:lastPrinted>2021-12-30T04:43:00Z</cp:lastPrinted>
  <dcterms:created xsi:type="dcterms:W3CDTF">2022-09-13T03:44:00Z</dcterms:created>
  <dcterms:modified xsi:type="dcterms:W3CDTF">2022-09-13T03:44:00Z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929212ae29844738777eb6726d1b164">
    <vt:lpwstr/>
  </property>
  <property fmtid="{D5CDD505-2E9C-101B-9397-08002B2CF9AE}" pid="3" name="ContentTypeId">
    <vt:lpwstr>0x010100F86F080158C6F84B8444E65442ED18A300207AA883EF31504B849FC5704A813FE2</vt:lpwstr>
  </property>
  <property fmtid="{D5CDD505-2E9C-101B-9397-08002B2CF9AE}" pid="4" name="EQuIP Standard">
    <vt:lpwstr/>
  </property>
  <property fmtid="{D5CDD505-2E9C-101B-9397-08002B2CF9AE}" pid="5" name="EQuIP Standard Keywords">
    <vt:lpwstr/>
  </property>
  <property fmtid="{D5CDD505-2E9C-101B-9397-08002B2CF9AE}" pid="6" name="i7a2badd33d744bf92178d435c0cd0a1">
    <vt:lpwstr/>
  </property>
  <property fmtid="{D5CDD505-2E9C-101B-9397-08002B2CF9AE}" pid="7" name="Order">
    <vt:r8>207000</vt:r8>
  </property>
</Properties>
</file>