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019"/>
        <w:gridCol w:w="5187"/>
      </w:tblGrid>
      <w:tr w:rsidR="00047B39" w:rsidRPr="00047B39" w14:paraId="2EF81821" w14:textId="77777777" w:rsidTr="00DB3A02">
        <w:trPr>
          <w:jc w:val="center"/>
        </w:trPr>
        <w:tc>
          <w:tcPr>
            <w:tcW w:w="10206" w:type="dxa"/>
            <w:gridSpan w:val="2"/>
          </w:tcPr>
          <w:p w14:paraId="39453467" w14:textId="7BB5B381" w:rsidR="00D45641" w:rsidRPr="00E80840" w:rsidRDefault="00CB0699" w:rsidP="00CB0699">
            <w:pPr>
              <w:jc w:val="center"/>
              <w:rPr>
                <w:rFonts w:cs="Arial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E80840">
              <w:rPr>
                <w:rFonts w:cs="Arial"/>
                <w:b/>
                <w:color w:val="000000" w:themeColor="text1"/>
                <w:sz w:val="28"/>
                <w:szCs w:val="28"/>
              </w:rPr>
              <w:t>Peri-operative Steroid Cover for Adult Patients taking Steroid Therapy</w:t>
            </w:r>
          </w:p>
        </w:tc>
      </w:tr>
      <w:tr w:rsidR="00047B39" w:rsidRPr="00047B39" w14:paraId="67B754C8" w14:textId="77777777" w:rsidTr="00DB3A02">
        <w:trPr>
          <w:jc w:val="center"/>
        </w:trPr>
        <w:tc>
          <w:tcPr>
            <w:tcW w:w="5019" w:type="dxa"/>
          </w:tcPr>
          <w:p w14:paraId="7EC2731D" w14:textId="5C26521C" w:rsidR="001A25F8" w:rsidRPr="00EB265D" w:rsidRDefault="001A25F8" w:rsidP="00E80840">
            <w:r w:rsidRPr="00E80840">
              <w:rPr>
                <w:sz w:val="22"/>
                <w:szCs w:val="22"/>
              </w:rPr>
              <w:t>Guideline code</w:t>
            </w:r>
            <w:r w:rsidRPr="00E80840">
              <w:t xml:space="preserve">: </w:t>
            </w:r>
            <w:r w:rsidR="00852724" w:rsidRPr="00E80840">
              <w:t>OG-GC6</w:t>
            </w:r>
          </w:p>
        </w:tc>
        <w:tc>
          <w:tcPr>
            <w:tcW w:w="5187" w:type="dxa"/>
          </w:tcPr>
          <w:p w14:paraId="04C72A88" w14:textId="01FC1FEF" w:rsidR="001A25F8" w:rsidRPr="00EB265D" w:rsidRDefault="005E72FE" w:rsidP="00E80840">
            <w:r w:rsidRPr="00E80840">
              <w:rPr>
                <w:sz w:val="22"/>
                <w:szCs w:val="22"/>
              </w:rPr>
              <w:t>Current version</w:t>
            </w:r>
            <w:r w:rsidR="001A25F8" w:rsidRPr="00EB265D">
              <w:t xml:space="preserve">: </w:t>
            </w:r>
            <w:r w:rsidR="00E80840">
              <w:t>July</w:t>
            </w:r>
            <w:r w:rsidR="00E47307">
              <w:t xml:space="preserve"> 2020</w:t>
            </w:r>
          </w:p>
        </w:tc>
      </w:tr>
      <w:tr w:rsidR="00047B39" w:rsidRPr="00047B39" w14:paraId="708FB869" w14:textId="77777777" w:rsidTr="00DB3A02">
        <w:trPr>
          <w:jc w:val="center"/>
        </w:trPr>
        <w:tc>
          <w:tcPr>
            <w:tcW w:w="5019" w:type="dxa"/>
          </w:tcPr>
          <w:p w14:paraId="7F3C7164" w14:textId="4A4DCE78" w:rsidR="001A25F8" w:rsidRPr="00EB265D" w:rsidRDefault="005E72FE" w:rsidP="00E80840">
            <w:r w:rsidRPr="00E80840">
              <w:rPr>
                <w:sz w:val="22"/>
                <w:szCs w:val="22"/>
              </w:rPr>
              <w:t>Previous version</w:t>
            </w:r>
            <w:r w:rsidR="001A25F8" w:rsidRPr="00EB265D">
              <w:t xml:space="preserve">: </w:t>
            </w:r>
            <w:r w:rsidR="00E80840">
              <w:t>new document</w:t>
            </w:r>
          </w:p>
        </w:tc>
        <w:tc>
          <w:tcPr>
            <w:tcW w:w="5187" w:type="dxa"/>
          </w:tcPr>
          <w:p w14:paraId="4CD70961" w14:textId="009AF87F" w:rsidR="001A25F8" w:rsidRPr="00EB265D" w:rsidRDefault="001A25F8" w:rsidP="00E80840">
            <w:r w:rsidRPr="00E80840">
              <w:rPr>
                <w:sz w:val="22"/>
                <w:szCs w:val="22"/>
              </w:rPr>
              <w:t>Next review date</w:t>
            </w:r>
            <w:r w:rsidRPr="00EB265D">
              <w:t xml:space="preserve">: </w:t>
            </w:r>
            <w:r w:rsidR="00E80840">
              <w:t>July</w:t>
            </w:r>
            <w:r w:rsidR="00E47307">
              <w:t xml:space="preserve"> 2023</w:t>
            </w:r>
          </w:p>
        </w:tc>
      </w:tr>
      <w:tr w:rsidR="00E80840" w:rsidRPr="00047B39" w14:paraId="0BC37033" w14:textId="77777777" w:rsidTr="00DB3A02">
        <w:trPr>
          <w:jc w:val="center"/>
        </w:trPr>
        <w:tc>
          <w:tcPr>
            <w:tcW w:w="5019" w:type="dxa"/>
          </w:tcPr>
          <w:p w14:paraId="54A27CBE" w14:textId="54F3DC52" w:rsidR="00E80840" w:rsidRPr="00EB265D" w:rsidRDefault="00E80840" w:rsidP="00E80840">
            <w:r w:rsidRPr="008C3471">
              <w:rPr>
                <w:spacing w:val="6"/>
                <w:sz w:val="22"/>
              </w:rPr>
              <w:t>Section</w:t>
            </w:r>
            <w:r w:rsidRPr="00413480">
              <w:rPr>
                <w:rFonts w:cs="Arial"/>
                <w:spacing w:val="6"/>
              </w:rPr>
              <w:t>:</w:t>
            </w:r>
            <w:r w:rsidRPr="00D221BD">
              <w:rPr>
                <w:rFonts w:cs="Arial"/>
                <w:spacing w:val="6"/>
                <w:szCs w:val="18"/>
              </w:rPr>
              <w:t xml:space="preserve"> </w:t>
            </w:r>
            <w:r>
              <w:rPr>
                <w:rFonts w:cs="Arial"/>
                <w:spacing w:val="6"/>
                <w:szCs w:val="18"/>
              </w:rPr>
              <w:t>Growing &amp; Improving Care</w:t>
            </w:r>
          </w:p>
        </w:tc>
        <w:tc>
          <w:tcPr>
            <w:tcW w:w="5187" w:type="dxa"/>
          </w:tcPr>
          <w:p w14:paraId="789874BD" w14:textId="132DB931" w:rsidR="00E80840" w:rsidRPr="00EB265D" w:rsidRDefault="00E80840" w:rsidP="00E80840">
            <w:r w:rsidRPr="008C3471">
              <w:rPr>
                <w:spacing w:val="6"/>
                <w:sz w:val="22"/>
              </w:rPr>
              <w:t>Sub-Section</w:t>
            </w:r>
            <w:r w:rsidRPr="00413480">
              <w:rPr>
                <w:rFonts w:cs="Arial"/>
                <w:spacing w:val="6"/>
              </w:rPr>
              <w:t xml:space="preserve">: </w:t>
            </w:r>
            <w:r w:rsidRPr="00413480">
              <w:rPr>
                <w:rFonts w:cs="Arial"/>
                <w:spacing w:val="6"/>
                <w:szCs w:val="18"/>
              </w:rPr>
              <w:t>Medication Management</w:t>
            </w:r>
          </w:p>
        </w:tc>
      </w:tr>
      <w:tr w:rsidR="00047B39" w:rsidRPr="00047B39" w14:paraId="6EB879F5" w14:textId="77777777" w:rsidTr="00DB3A02">
        <w:trPr>
          <w:jc w:val="center"/>
        </w:trPr>
        <w:tc>
          <w:tcPr>
            <w:tcW w:w="10206" w:type="dxa"/>
            <w:gridSpan w:val="2"/>
          </w:tcPr>
          <w:p w14:paraId="63B3F99D" w14:textId="77777777" w:rsidR="00D45641" w:rsidRPr="00E80840" w:rsidRDefault="004E4684" w:rsidP="00E80840">
            <w:pPr>
              <w:pStyle w:val="Heading1"/>
            </w:pPr>
            <w:r w:rsidRPr="00E80840">
              <w:fldChar w:fldCharType="begin"/>
            </w:r>
            <w:r w:rsidR="00042107" w:rsidRPr="00E80840">
              <w:instrText xml:space="preserve"> AUTONUM </w:instrText>
            </w:r>
            <w:r w:rsidRPr="00E80840">
              <w:fldChar w:fldCharType="end"/>
            </w:r>
            <w:r w:rsidR="00D45641" w:rsidRPr="00E80840">
              <w:t xml:space="preserve">  Overview</w:t>
            </w:r>
          </w:p>
          <w:p w14:paraId="1A8904B1" w14:textId="4413E750" w:rsidR="005A1DBA" w:rsidRPr="00EB265D" w:rsidRDefault="0018394B" w:rsidP="00654FAE">
            <w:r w:rsidRPr="00EB265D">
              <w:t>T</w:t>
            </w:r>
            <w:r w:rsidR="00433441" w:rsidRPr="00EB265D">
              <w:t xml:space="preserve">his guideline </w:t>
            </w:r>
            <w:r w:rsidRPr="00EB265D">
              <w:t>provide</w:t>
            </w:r>
            <w:r w:rsidR="00433441" w:rsidRPr="00EB265D">
              <w:t>s</w:t>
            </w:r>
            <w:r w:rsidRPr="00EB265D">
              <w:t xml:space="preserve"> clinicians with evidence-based guidelines on </w:t>
            </w:r>
            <w:r w:rsidR="00863FDD" w:rsidRPr="00EB265D">
              <w:t>glucocorticoid (“</w:t>
            </w:r>
            <w:r w:rsidRPr="00EB265D">
              <w:t>steroid</w:t>
            </w:r>
            <w:r w:rsidR="00863FDD" w:rsidRPr="00EB265D">
              <w:t>”)</w:t>
            </w:r>
            <w:r w:rsidRPr="00EB265D">
              <w:t xml:space="preserve"> dosing for patients</w:t>
            </w:r>
            <w:r w:rsidR="00AF6B4B" w:rsidRPr="00EB265D">
              <w:t xml:space="preserve"> undertaking surgery</w:t>
            </w:r>
            <w:r w:rsidRPr="00EB265D">
              <w:t xml:space="preserve"> who have adrenal insufficiency secondary to long term steroid use (equal or greater than 4 weeks)</w:t>
            </w:r>
            <w:r w:rsidR="00863FDD" w:rsidRPr="00EB265D">
              <w:t>, or established adrenal insufficiency due to either adrenal or pituitary/hypothalamic disease</w:t>
            </w:r>
            <w:r w:rsidR="009074AD" w:rsidRPr="00EB265D">
              <w:t>.</w:t>
            </w:r>
            <w:r w:rsidR="006B0361" w:rsidRPr="00EB265D">
              <w:t xml:space="preserve"> </w:t>
            </w:r>
          </w:p>
          <w:p w14:paraId="1585B7AC" w14:textId="77777777" w:rsidR="005A1DBA" w:rsidRPr="00EB265D" w:rsidRDefault="005A1DBA" w:rsidP="00654FAE"/>
          <w:p w14:paraId="45E3EBE5" w14:textId="77777777" w:rsidR="0018394B" w:rsidRPr="00EB265D" w:rsidRDefault="006B0361" w:rsidP="00654FAE">
            <w:r w:rsidRPr="00EB265D">
              <w:t xml:space="preserve">By providing these guidelines, clinicians are </w:t>
            </w:r>
            <w:r w:rsidR="0052239A" w:rsidRPr="00EB265D">
              <w:t xml:space="preserve">able to minimise the </w:t>
            </w:r>
            <w:r w:rsidR="005A1DBA" w:rsidRPr="00EB265D">
              <w:t>morbidity</w:t>
            </w:r>
            <w:r w:rsidR="0052239A" w:rsidRPr="00EB265D">
              <w:t xml:space="preserve"> and mortality from adrenal crisis in the perioperative period.</w:t>
            </w:r>
          </w:p>
          <w:p w14:paraId="53DD82B0" w14:textId="77777777" w:rsidR="009074AD" w:rsidRPr="00EB265D" w:rsidRDefault="009074AD" w:rsidP="00654FAE"/>
          <w:p w14:paraId="3B9A486A" w14:textId="77777777" w:rsidR="0018394B" w:rsidRDefault="00433441" w:rsidP="00654FAE">
            <w:r w:rsidRPr="00EB265D">
              <w:t>This guideline is applicable i</w:t>
            </w:r>
            <w:r w:rsidR="001E3C94" w:rsidRPr="00EB265D">
              <w:t>n the perioperative setting where patients with adrenal insufficiency are required to undertake elective or emergency surgery.</w:t>
            </w:r>
          </w:p>
          <w:p w14:paraId="2AB14BDF" w14:textId="40A73F65" w:rsidR="00654FAE" w:rsidRPr="00EB265D" w:rsidRDefault="00654FAE" w:rsidP="00654FAE"/>
        </w:tc>
      </w:tr>
      <w:tr w:rsidR="00047B39" w:rsidRPr="00047B39" w14:paraId="582483D5" w14:textId="77777777" w:rsidTr="00B0465C">
        <w:trPr>
          <w:trHeight w:val="640"/>
          <w:jc w:val="center"/>
        </w:trPr>
        <w:tc>
          <w:tcPr>
            <w:tcW w:w="10206" w:type="dxa"/>
            <w:gridSpan w:val="2"/>
          </w:tcPr>
          <w:p w14:paraId="362BA4F0" w14:textId="77777777" w:rsidR="00D45641" w:rsidRPr="00E80840" w:rsidRDefault="004E4684" w:rsidP="00264602">
            <w:pPr>
              <w:pStyle w:val="Heading1"/>
            </w:pPr>
            <w:r w:rsidRPr="00E80840">
              <w:fldChar w:fldCharType="begin"/>
            </w:r>
            <w:r w:rsidR="00042107" w:rsidRPr="00E80840">
              <w:instrText xml:space="preserve"> AUTONUM </w:instrText>
            </w:r>
            <w:r w:rsidRPr="00E80840">
              <w:fldChar w:fldCharType="end"/>
            </w:r>
            <w:r w:rsidR="005E72FE" w:rsidRPr="00E80840">
              <w:t xml:space="preserve">  Applicability</w:t>
            </w:r>
          </w:p>
          <w:p w14:paraId="28D8CEC6" w14:textId="77777777" w:rsidR="00D45641" w:rsidRDefault="0078506D" w:rsidP="00654FAE">
            <w:r w:rsidRPr="00EB265D">
              <w:t>These guidelines apply to all clinical staff, including Nursing, Medical</w:t>
            </w:r>
            <w:r w:rsidR="00863FDD" w:rsidRPr="00EB265D">
              <w:t>,</w:t>
            </w:r>
            <w:r w:rsidRPr="00EB265D">
              <w:t xml:space="preserve"> Pharmacy and </w:t>
            </w:r>
            <w:r w:rsidR="00863FDD" w:rsidRPr="00EB265D">
              <w:t>Diagnostic Imaging</w:t>
            </w:r>
            <w:r w:rsidRPr="00EB265D">
              <w:t xml:space="preserve"> staff across Western Health</w:t>
            </w:r>
            <w:r w:rsidR="00863FDD" w:rsidRPr="00EB265D">
              <w:t>.</w:t>
            </w:r>
          </w:p>
          <w:p w14:paraId="43636B9F" w14:textId="6194B5B8" w:rsidR="00654FAE" w:rsidRPr="00EB265D" w:rsidRDefault="00654FAE" w:rsidP="00654FAE"/>
        </w:tc>
      </w:tr>
      <w:tr w:rsidR="00047B39" w:rsidRPr="00047B39" w14:paraId="18BE1B02" w14:textId="77777777" w:rsidTr="00B0465C">
        <w:trPr>
          <w:trHeight w:val="486"/>
          <w:jc w:val="center"/>
        </w:trPr>
        <w:tc>
          <w:tcPr>
            <w:tcW w:w="10206" w:type="dxa"/>
            <w:gridSpan w:val="2"/>
          </w:tcPr>
          <w:p w14:paraId="0BE270C0" w14:textId="77777777" w:rsidR="00D45641" w:rsidRPr="00E80840" w:rsidRDefault="004E4684" w:rsidP="00264602">
            <w:pPr>
              <w:pStyle w:val="Heading1"/>
            </w:pPr>
            <w:r w:rsidRPr="00E80840">
              <w:fldChar w:fldCharType="begin"/>
            </w:r>
            <w:r w:rsidR="00042107" w:rsidRPr="00E80840">
              <w:instrText xml:space="preserve"> AUTONUM </w:instrText>
            </w:r>
            <w:r w:rsidRPr="00E80840">
              <w:fldChar w:fldCharType="end"/>
            </w:r>
            <w:r w:rsidR="005E72FE" w:rsidRPr="00E80840">
              <w:t xml:space="preserve">  Responsibility</w:t>
            </w:r>
          </w:p>
          <w:p w14:paraId="7EC0FB5F" w14:textId="77777777" w:rsidR="00654FAE" w:rsidRDefault="0078506D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654FAE">
              <w:t>Western Health Anaesthetic, Endocrinology and Surgical departments</w:t>
            </w:r>
            <w:r w:rsidR="00F8735D" w:rsidRPr="00654FAE">
              <w:t xml:space="preserve"> are responsible for this guideline</w:t>
            </w:r>
            <w:r w:rsidR="00F8735D" w:rsidRPr="00EB265D">
              <w:rPr>
                <w:rFonts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0529340A" w14:textId="1857E38B" w:rsidR="00654FAE" w:rsidRPr="00EB265D" w:rsidRDefault="00654FAE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47B39" w:rsidRPr="00047B39" w14:paraId="53D8D6B4" w14:textId="77777777" w:rsidTr="00B0465C">
        <w:trPr>
          <w:trHeight w:val="556"/>
          <w:jc w:val="center"/>
        </w:trPr>
        <w:tc>
          <w:tcPr>
            <w:tcW w:w="10206" w:type="dxa"/>
            <w:gridSpan w:val="2"/>
          </w:tcPr>
          <w:p w14:paraId="501ED81E" w14:textId="77777777" w:rsidR="00D45641" w:rsidRPr="00E80840" w:rsidRDefault="004E4684" w:rsidP="00264602">
            <w:pPr>
              <w:pStyle w:val="Heading1"/>
            </w:pPr>
            <w:r w:rsidRPr="00E80840">
              <w:fldChar w:fldCharType="begin"/>
            </w:r>
            <w:r w:rsidR="00042107" w:rsidRPr="00E80840">
              <w:instrText xml:space="preserve"> AUTONUM </w:instrText>
            </w:r>
            <w:r w:rsidRPr="00E80840">
              <w:fldChar w:fldCharType="end"/>
            </w:r>
            <w:r w:rsidR="00D45641" w:rsidRPr="00E80840">
              <w:t xml:space="preserve">  Authority</w:t>
            </w:r>
          </w:p>
          <w:p w14:paraId="4C786E56" w14:textId="77777777" w:rsidR="00D45641" w:rsidRDefault="004D6CEA" w:rsidP="00DB3A02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EB265D">
              <w:rPr>
                <w:rFonts w:cs="Arial"/>
                <w:color w:val="000000" w:themeColor="text1"/>
                <w:sz w:val="20"/>
                <w:szCs w:val="20"/>
              </w:rPr>
              <w:t xml:space="preserve">Anaesthetists, surgical staff and medical staff of Endocrinology &amp; Diabetes Unit may vary this </w:t>
            </w:r>
            <w:r w:rsidR="00157D66" w:rsidRPr="00EB265D">
              <w:rPr>
                <w:rFonts w:cs="Arial"/>
                <w:color w:val="000000" w:themeColor="text1"/>
                <w:sz w:val="20"/>
                <w:szCs w:val="20"/>
              </w:rPr>
              <w:t>guideline</w:t>
            </w:r>
            <w:r w:rsidRPr="00EB265D">
              <w:rPr>
                <w:rFonts w:cs="Arial"/>
                <w:color w:val="000000" w:themeColor="text1"/>
                <w:sz w:val="20"/>
                <w:szCs w:val="20"/>
              </w:rPr>
              <w:t xml:space="preserve"> at their discretion.</w:t>
            </w:r>
          </w:p>
          <w:p w14:paraId="5AED1203" w14:textId="2AB194FF" w:rsidR="00654FAE" w:rsidRPr="00EB265D" w:rsidRDefault="00654FAE" w:rsidP="00DB3A02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47B39" w:rsidRPr="00047B39" w14:paraId="327D8729" w14:textId="77777777" w:rsidTr="00442CA1">
        <w:trPr>
          <w:trHeight w:val="1411"/>
          <w:jc w:val="center"/>
        </w:trPr>
        <w:tc>
          <w:tcPr>
            <w:tcW w:w="10206" w:type="dxa"/>
            <w:gridSpan w:val="2"/>
          </w:tcPr>
          <w:p w14:paraId="40B19A85" w14:textId="77777777" w:rsidR="00D45641" w:rsidRPr="00E80840" w:rsidRDefault="004E4684" w:rsidP="00264602">
            <w:pPr>
              <w:pStyle w:val="Heading1"/>
            </w:pPr>
            <w:r w:rsidRPr="00E80840">
              <w:fldChar w:fldCharType="begin"/>
            </w:r>
            <w:r w:rsidR="00042107" w:rsidRPr="00E80840">
              <w:instrText xml:space="preserve"> AUTONUM </w:instrText>
            </w:r>
            <w:r w:rsidRPr="00E80840">
              <w:fldChar w:fldCharType="end"/>
            </w:r>
            <w:r w:rsidR="005E72FE" w:rsidRPr="00E80840">
              <w:t xml:space="preserve">  Associated Documentation</w:t>
            </w:r>
          </w:p>
          <w:p w14:paraId="7881C611" w14:textId="77777777" w:rsidR="00D45641" w:rsidRPr="00EB265D" w:rsidRDefault="00D45641" w:rsidP="00654FAE">
            <w:r w:rsidRPr="00654FAE">
              <w:t>In support</w:t>
            </w:r>
            <w:r w:rsidRPr="00EB265D">
              <w:t xml:space="preserve"> of this </w:t>
            </w:r>
            <w:r w:rsidR="00D11E3A" w:rsidRPr="00EB265D">
              <w:t>guideline</w:t>
            </w:r>
            <w:r w:rsidRPr="00EB265D">
              <w:t xml:space="preserve">, the following Manuals, </w:t>
            </w:r>
            <w:r w:rsidR="00923E91" w:rsidRPr="00EB265D">
              <w:t>Guidelines</w:t>
            </w:r>
            <w:r w:rsidRPr="00EB265D">
              <w:t>, Instructions, Guidelines, and/or Forms apply:</w:t>
            </w:r>
          </w:p>
          <w:tbl>
            <w:tblPr>
              <w:tblW w:w="9768" w:type="dxa"/>
              <w:tblLayout w:type="fixed"/>
              <w:tblLook w:val="01E0" w:firstRow="1" w:lastRow="1" w:firstColumn="1" w:lastColumn="1" w:noHBand="0" w:noVBand="0"/>
            </w:tblPr>
            <w:tblGrid>
              <w:gridCol w:w="2717"/>
              <w:gridCol w:w="7051"/>
            </w:tblGrid>
            <w:tr w:rsidR="00047B39" w:rsidRPr="00047B39" w14:paraId="2249A6B9" w14:textId="77777777" w:rsidTr="00654FAE">
              <w:tc>
                <w:tcPr>
                  <w:tcW w:w="2717" w:type="dxa"/>
                </w:tcPr>
                <w:p w14:paraId="2829745E" w14:textId="65AB28AA" w:rsidR="009953AC" w:rsidRPr="00EB265D" w:rsidRDefault="009953AC" w:rsidP="00654FAE">
                  <w:r>
                    <w:t>OG-GC6</w:t>
                  </w:r>
                </w:p>
              </w:tc>
              <w:tc>
                <w:tcPr>
                  <w:tcW w:w="7051" w:type="dxa"/>
                </w:tcPr>
                <w:p w14:paraId="59621197" w14:textId="27984729" w:rsidR="009953AC" w:rsidRPr="00EB265D" w:rsidRDefault="009953AC" w:rsidP="00654FAE">
                  <w:r>
                    <w:t>Guideline for Prevention and Treatment of Post-operative Nausea and Vomiting (Adults)</w:t>
                  </w:r>
                </w:p>
              </w:tc>
            </w:tr>
            <w:tr w:rsidR="00654FAE" w:rsidRPr="00047B39" w14:paraId="6423403F" w14:textId="77777777" w:rsidTr="00654FAE">
              <w:tc>
                <w:tcPr>
                  <w:tcW w:w="2717" w:type="dxa"/>
                </w:tcPr>
                <w:p w14:paraId="4641426E" w14:textId="6737576C" w:rsidR="00654FAE" w:rsidRDefault="00654FAE" w:rsidP="00654FAE">
                  <w:r w:rsidRPr="00EB265D">
                    <w:t>OP-GC6</w:t>
                  </w:r>
                </w:p>
              </w:tc>
              <w:tc>
                <w:tcPr>
                  <w:tcW w:w="7051" w:type="dxa"/>
                </w:tcPr>
                <w:p w14:paraId="509E4E00" w14:textId="5121C50B" w:rsidR="00654FAE" w:rsidRDefault="00654FAE" w:rsidP="00654FAE">
                  <w:r w:rsidRPr="00EB265D">
                    <w:t>Medication Prescription, Supply, Storage and Administration</w:t>
                  </w:r>
                </w:p>
              </w:tc>
            </w:tr>
            <w:tr w:rsidR="00654FAE" w:rsidRPr="00047B39" w14:paraId="73AE5F8E" w14:textId="77777777" w:rsidTr="00654FAE">
              <w:tc>
                <w:tcPr>
                  <w:tcW w:w="2717" w:type="dxa"/>
                </w:tcPr>
                <w:p w14:paraId="1CBABF35" w14:textId="179105AC" w:rsidR="00654FAE" w:rsidRDefault="00654FAE" w:rsidP="00654FAE">
                  <w:r w:rsidRPr="00EB265D">
                    <w:t>OP-GC6</w:t>
                  </w:r>
                </w:p>
              </w:tc>
              <w:tc>
                <w:tcPr>
                  <w:tcW w:w="7051" w:type="dxa"/>
                </w:tcPr>
                <w:p w14:paraId="43461C09" w14:textId="319366AF" w:rsidR="00654FAE" w:rsidRDefault="00654FAE" w:rsidP="00654FAE">
                  <w:r w:rsidRPr="00EB265D">
                    <w:t>Peri-operative Management of Diabetes in Non-pregnant Adults</w:t>
                  </w:r>
                </w:p>
              </w:tc>
            </w:tr>
            <w:tr w:rsidR="00654FAE" w:rsidRPr="00047B39" w14:paraId="720C961A" w14:textId="77777777" w:rsidTr="00654FAE">
              <w:tc>
                <w:tcPr>
                  <w:tcW w:w="2717" w:type="dxa"/>
                </w:tcPr>
                <w:p w14:paraId="5E7CAC5B" w14:textId="77777777" w:rsidR="00654FAE" w:rsidRPr="00EB265D" w:rsidRDefault="00654FAE" w:rsidP="00654FAE">
                  <w:r w:rsidRPr="00EB265D">
                    <w:t>Women’s Services DG-CC4</w:t>
                  </w:r>
                </w:p>
              </w:tc>
              <w:tc>
                <w:tcPr>
                  <w:tcW w:w="7051" w:type="dxa"/>
                </w:tcPr>
                <w:p w14:paraId="6FECFF57" w14:textId="77777777" w:rsidR="00654FAE" w:rsidRPr="00EB265D" w:rsidRDefault="00654FAE" w:rsidP="00654FAE">
                  <w:r w:rsidRPr="00EB265D">
                    <w:t>Gestational Diabetes - Diagnosis and Management</w:t>
                  </w:r>
                </w:p>
              </w:tc>
            </w:tr>
            <w:tr w:rsidR="00654FAE" w:rsidRPr="00047B39" w14:paraId="32BB4614" w14:textId="77777777" w:rsidTr="00654FAE">
              <w:tc>
                <w:tcPr>
                  <w:tcW w:w="2717" w:type="dxa"/>
                </w:tcPr>
                <w:p w14:paraId="67E75A0E" w14:textId="77777777" w:rsidR="00654FAE" w:rsidRPr="00EB265D" w:rsidRDefault="00654FAE" w:rsidP="00654FAE">
                  <w:r w:rsidRPr="00EB265D">
                    <w:t>Women's Services DG-CC</w:t>
                  </w:r>
                  <w:r>
                    <w:t>4</w:t>
                  </w:r>
                </w:p>
              </w:tc>
              <w:tc>
                <w:tcPr>
                  <w:tcW w:w="7051" w:type="dxa"/>
                </w:tcPr>
                <w:p w14:paraId="3176B99B" w14:textId="77777777" w:rsidR="00654FAE" w:rsidRPr="00EB265D" w:rsidRDefault="00654FAE" w:rsidP="00654FAE">
                  <w:r w:rsidRPr="00EB265D">
                    <w:t>Type 1 and Type 2 Diabetes Mellitus in Pregnancy</w:t>
                  </w:r>
                </w:p>
              </w:tc>
            </w:tr>
          </w:tbl>
          <w:p w14:paraId="6A03E538" w14:textId="77777777" w:rsidR="00D45641" w:rsidRPr="00EB265D" w:rsidRDefault="00D45641" w:rsidP="00D4564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47B39" w:rsidRPr="00047B39" w14:paraId="72FB648D" w14:textId="77777777" w:rsidTr="00B0465C">
        <w:trPr>
          <w:trHeight w:val="520"/>
          <w:jc w:val="center"/>
        </w:trPr>
        <w:tc>
          <w:tcPr>
            <w:tcW w:w="10206" w:type="dxa"/>
            <w:gridSpan w:val="2"/>
          </w:tcPr>
          <w:p w14:paraId="340F025C" w14:textId="3EDA4A3B" w:rsidR="004D6CEA" w:rsidRPr="00E80840" w:rsidRDefault="004E4684" w:rsidP="00E80840">
            <w:pPr>
              <w:pStyle w:val="Heading1"/>
            </w:pPr>
            <w:r w:rsidRPr="00E80840">
              <w:fldChar w:fldCharType="begin"/>
            </w:r>
            <w:r w:rsidR="00042107" w:rsidRPr="00E80840">
              <w:instrText xml:space="preserve"> AUTONUM </w:instrText>
            </w:r>
            <w:r w:rsidRPr="00E80840">
              <w:fldChar w:fldCharType="end"/>
            </w:r>
            <w:r w:rsidR="00D45641" w:rsidRPr="00E80840">
              <w:t xml:space="preserve">  </w:t>
            </w:r>
            <w:r w:rsidR="004D6CEA" w:rsidRPr="00E80840">
              <w:t>Credentialing Requirements</w:t>
            </w:r>
          </w:p>
          <w:p w14:paraId="557C2DC7" w14:textId="77777777" w:rsidR="00344F4B" w:rsidRDefault="004D6CEA" w:rsidP="00654FAE">
            <w:r w:rsidRPr="00EB265D">
              <w:t>No specific credentialing requirements.</w:t>
            </w:r>
          </w:p>
          <w:p w14:paraId="72599D7B" w14:textId="143B346E" w:rsidR="00654FAE" w:rsidRPr="00EB265D" w:rsidRDefault="00654FAE" w:rsidP="00654FAE"/>
        </w:tc>
      </w:tr>
      <w:tr w:rsidR="00047B39" w:rsidRPr="00047B39" w14:paraId="6B0383B1" w14:textId="77777777" w:rsidTr="000A51BC">
        <w:trPr>
          <w:trHeight w:val="444"/>
          <w:jc w:val="center"/>
        </w:trPr>
        <w:tc>
          <w:tcPr>
            <w:tcW w:w="10206" w:type="dxa"/>
            <w:gridSpan w:val="2"/>
          </w:tcPr>
          <w:p w14:paraId="314D7294" w14:textId="32F256F3" w:rsidR="00D45641" w:rsidRPr="00E80840" w:rsidRDefault="004E4684" w:rsidP="00264602">
            <w:pPr>
              <w:pStyle w:val="Heading1"/>
            </w:pPr>
            <w:r w:rsidRPr="00E80840">
              <w:fldChar w:fldCharType="begin"/>
            </w:r>
            <w:r w:rsidR="00042107" w:rsidRPr="00E80840">
              <w:instrText xml:space="preserve"> AUTONUM </w:instrText>
            </w:r>
            <w:r w:rsidRPr="00E80840">
              <w:fldChar w:fldCharType="end"/>
            </w:r>
            <w:r w:rsidR="000A51BC">
              <w:t xml:space="preserve">  Definitions and Abbreviations</w:t>
            </w:r>
          </w:p>
          <w:p w14:paraId="350BA9F7" w14:textId="17F51432" w:rsidR="00F12DB2" w:rsidRPr="00654FAE" w:rsidRDefault="00D76379" w:rsidP="00654FAE">
            <w:pPr>
              <w:pStyle w:val="Heading2"/>
            </w:pPr>
            <w:r w:rsidRPr="00654FAE">
              <w:t xml:space="preserve">7.1 </w:t>
            </w:r>
            <w:r w:rsidR="00654FAE" w:rsidRPr="00654FAE">
              <w:t xml:space="preserve"> </w:t>
            </w:r>
            <w:r w:rsidRPr="00654FAE">
              <w:t>Definitions</w:t>
            </w:r>
          </w:p>
          <w:p w14:paraId="263730EB" w14:textId="1B844A71" w:rsidR="00811169" w:rsidRPr="00B0465C" w:rsidRDefault="00811169" w:rsidP="000A51BC">
            <w:pPr>
              <w:rPr>
                <w:b/>
              </w:rPr>
            </w:pPr>
            <w:r w:rsidRPr="00B0465C">
              <w:t>For purposes of this guideline, unless otherwise stated, the following definitions shall apply:</w:t>
            </w:r>
          </w:p>
          <w:tbl>
            <w:tblPr>
              <w:tblW w:w="0" w:type="auto"/>
              <w:tblLayout w:type="fixed"/>
              <w:tblCellMar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1867"/>
              <w:gridCol w:w="7901"/>
            </w:tblGrid>
            <w:tr w:rsidR="00B0465C" w:rsidRPr="00B0465C" w14:paraId="5D2205EA" w14:textId="77777777" w:rsidTr="000A51BC">
              <w:tc>
                <w:tcPr>
                  <w:tcW w:w="1867" w:type="dxa"/>
                </w:tcPr>
                <w:p w14:paraId="5F0C57D9" w14:textId="0D4500E3" w:rsidR="00B0465C" w:rsidRPr="00B0465C" w:rsidRDefault="000A51BC" w:rsidP="000A51BC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Minor S</w:t>
                  </w:r>
                  <w:r w:rsidR="00B0465C" w:rsidRPr="00B0465C">
                    <w:rPr>
                      <w:rFonts w:cs="Arial"/>
                    </w:rPr>
                    <w:t>urgery</w:t>
                  </w:r>
                </w:p>
              </w:tc>
              <w:tc>
                <w:tcPr>
                  <w:tcW w:w="7901" w:type="dxa"/>
                </w:tcPr>
                <w:p w14:paraId="7792FDDD" w14:textId="4F48DA6C" w:rsidR="00B0465C" w:rsidRPr="00B0465C" w:rsidRDefault="00B0465C" w:rsidP="000A51BC">
                  <w:pPr>
                    <w:rPr>
                      <w:rFonts w:cs="Arial"/>
                    </w:rPr>
                  </w:pPr>
                  <w:r w:rsidRPr="00B0465C">
                    <w:rPr>
                      <w:rFonts w:cs="Arial"/>
                    </w:rPr>
                    <w:t>Day surgery cases with resumption of oral intake post operatively.</w:t>
                  </w:r>
                </w:p>
              </w:tc>
            </w:tr>
            <w:tr w:rsidR="00B0465C" w:rsidRPr="00B0465C" w14:paraId="5E519931" w14:textId="77777777" w:rsidTr="000A51BC">
              <w:tc>
                <w:tcPr>
                  <w:tcW w:w="1867" w:type="dxa"/>
                </w:tcPr>
                <w:p w14:paraId="3969CC2F" w14:textId="4785FE74" w:rsidR="00CC119A" w:rsidRPr="00B0465C" w:rsidRDefault="000A51BC" w:rsidP="000A51BC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Major S</w:t>
                  </w:r>
                  <w:r w:rsidR="00CC119A" w:rsidRPr="00B0465C">
                    <w:rPr>
                      <w:rFonts w:cs="Arial"/>
                    </w:rPr>
                    <w:t>urgery</w:t>
                  </w:r>
                </w:p>
              </w:tc>
              <w:tc>
                <w:tcPr>
                  <w:tcW w:w="7901" w:type="dxa"/>
                </w:tcPr>
                <w:p w14:paraId="0D966948" w14:textId="5A29D3CC" w:rsidR="00CC119A" w:rsidRPr="00B0465C" w:rsidRDefault="00393D7A" w:rsidP="000A51BC">
                  <w:pPr>
                    <w:rPr>
                      <w:rFonts w:cs="Arial"/>
                    </w:rPr>
                  </w:pPr>
                  <w:r w:rsidRPr="00B0465C">
                    <w:rPr>
                      <w:rFonts w:cs="Arial"/>
                    </w:rPr>
                    <w:t xml:space="preserve">All major surgery with overnight stay, includes general or regional anaesthesia and caesarean section. </w:t>
                  </w:r>
                </w:p>
              </w:tc>
            </w:tr>
            <w:tr w:rsidR="00B0465C" w:rsidRPr="00B0465C" w14:paraId="0B822256" w14:textId="77777777" w:rsidTr="000A51BC">
              <w:tc>
                <w:tcPr>
                  <w:tcW w:w="1867" w:type="dxa"/>
                </w:tcPr>
                <w:p w14:paraId="7B6EC2D1" w14:textId="77777777" w:rsidR="00811169" w:rsidRPr="00B0465C" w:rsidRDefault="00863FDD" w:rsidP="000A51BC">
                  <w:pPr>
                    <w:rPr>
                      <w:rFonts w:cs="Arial"/>
                    </w:rPr>
                  </w:pPr>
                  <w:r w:rsidRPr="00B0465C">
                    <w:rPr>
                      <w:rFonts w:cs="Arial"/>
                    </w:rPr>
                    <w:t>Steroid</w:t>
                  </w:r>
                </w:p>
              </w:tc>
              <w:tc>
                <w:tcPr>
                  <w:tcW w:w="7901" w:type="dxa"/>
                </w:tcPr>
                <w:p w14:paraId="78CA7F4A" w14:textId="49085D3F" w:rsidR="00863FDD" w:rsidRPr="00B0465C" w:rsidRDefault="00863FDD" w:rsidP="000A51BC">
                  <w:pPr>
                    <w:rPr>
                      <w:rFonts w:cs="Arial"/>
                    </w:rPr>
                  </w:pPr>
                  <w:r w:rsidRPr="00B0465C">
                    <w:rPr>
                      <w:rFonts w:cs="Arial"/>
                    </w:rPr>
                    <w:t>Glucocorticoid</w:t>
                  </w:r>
                </w:p>
              </w:tc>
            </w:tr>
          </w:tbl>
          <w:p w14:paraId="1A6BF8D0" w14:textId="0C1AFA39" w:rsidR="00811169" w:rsidRPr="00654FAE" w:rsidRDefault="00D76379" w:rsidP="00811169">
            <w:pPr>
              <w:pStyle w:val="Heading2"/>
            </w:pPr>
            <w:r w:rsidRPr="00654FAE">
              <w:t xml:space="preserve">7.2 </w:t>
            </w:r>
            <w:r w:rsidR="007D4AE1">
              <w:t xml:space="preserve"> </w:t>
            </w:r>
            <w:r w:rsidRPr="00654FAE">
              <w:t>Abbreviations</w:t>
            </w:r>
          </w:p>
          <w:p w14:paraId="3B35068D" w14:textId="77777777" w:rsidR="00811169" w:rsidRPr="00EB265D" w:rsidRDefault="00811169" w:rsidP="000A51BC">
            <w:r w:rsidRPr="00EB265D">
              <w:t>For purposes of this guideline, unless otherwise stated, the following abbreviations shall apply:</w:t>
            </w:r>
          </w:p>
          <w:tbl>
            <w:tblPr>
              <w:tblW w:w="0" w:type="auto"/>
              <w:tblLayout w:type="fixed"/>
              <w:tblCellMar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1300"/>
              <w:gridCol w:w="8468"/>
            </w:tblGrid>
            <w:tr w:rsidR="00047B39" w:rsidRPr="00047B39" w14:paraId="51F97532" w14:textId="77777777" w:rsidTr="000A51BC">
              <w:tc>
                <w:tcPr>
                  <w:tcW w:w="1300" w:type="dxa"/>
                </w:tcPr>
                <w:p w14:paraId="5E343A2D" w14:textId="41BE509F" w:rsidR="00863FDD" w:rsidRPr="00EB265D" w:rsidRDefault="00863FDD" w:rsidP="000A51BC">
                  <w:r w:rsidRPr="00EB265D">
                    <w:t>B</w:t>
                  </w:r>
                  <w:r w:rsidR="00D76D7A" w:rsidRPr="00EB265D">
                    <w:t>G</w:t>
                  </w:r>
                  <w:r w:rsidRPr="00EB265D">
                    <w:t>L</w:t>
                  </w:r>
                </w:p>
              </w:tc>
              <w:tc>
                <w:tcPr>
                  <w:tcW w:w="8468" w:type="dxa"/>
                </w:tcPr>
                <w:p w14:paraId="4D8A6960" w14:textId="373A3EC9" w:rsidR="00863FDD" w:rsidRPr="00EB265D" w:rsidRDefault="00863FDD" w:rsidP="000A51BC">
                  <w:r w:rsidRPr="00EB265D">
                    <w:t xml:space="preserve">Blood </w:t>
                  </w:r>
                  <w:r w:rsidR="00D76D7A" w:rsidRPr="00EB265D">
                    <w:t>glucose</w:t>
                  </w:r>
                  <w:r w:rsidRPr="00EB265D">
                    <w:t xml:space="preserve"> levels</w:t>
                  </w:r>
                </w:p>
              </w:tc>
            </w:tr>
            <w:tr w:rsidR="00047B39" w:rsidRPr="00047B39" w14:paraId="51C70965" w14:textId="77777777" w:rsidTr="000A51BC">
              <w:tc>
                <w:tcPr>
                  <w:tcW w:w="1300" w:type="dxa"/>
                </w:tcPr>
                <w:p w14:paraId="742A8D76" w14:textId="17FF4B9B" w:rsidR="00157D66" w:rsidRPr="00EB265D" w:rsidRDefault="00157D66" w:rsidP="000A51BC">
                  <w:r w:rsidRPr="00EB265D">
                    <w:lastRenderedPageBreak/>
                    <w:t>NBM</w:t>
                  </w:r>
                </w:p>
              </w:tc>
              <w:tc>
                <w:tcPr>
                  <w:tcW w:w="8468" w:type="dxa"/>
                </w:tcPr>
                <w:p w14:paraId="1F81CDF6" w14:textId="438836FE" w:rsidR="00157D66" w:rsidRPr="00EB265D" w:rsidRDefault="00157D66" w:rsidP="000A51BC">
                  <w:r w:rsidRPr="00EB265D">
                    <w:t>Nil by mouth</w:t>
                  </w:r>
                </w:p>
              </w:tc>
            </w:tr>
            <w:tr w:rsidR="00047B39" w:rsidRPr="00047B39" w14:paraId="6D405EB6" w14:textId="77777777" w:rsidTr="000A51BC">
              <w:tc>
                <w:tcPr>
                  <w:tcW w:w="1300" w:type="dxa"/>
                </w:tcPr>
                <w:p w14:paraId="58F8720A" w14:textId="24F69C90" w:rsidR="00863FDD" w:rsidRPr="00EB265D" w:rsidRDefault="000A51BC" w:rsidP="000A51BC">
                  <w:r>
                    <w:t>Post O</w:t>
                  </w:r>
                  <w:r w:rsidR="006A4129" w:rsidRPr="00EB265D">
                    <w:t>p</w:t>
                  </w:r>
                </w:p>
              </w:tc>
              <w:tc>
                <w:tcPr>
                  <w:tcW w:w="8468" w:type="dxa"/>
                </w:tcPr>
                <w:p w14:paraId="464C03F3" w14:textId="0EA798B9" w:rsidR="00863FDD" w:rsidRPr="00EB265D" w:rsidRDefault="00D76D7A" w:rsidP="000A51BC">
                  <w:r w:rsidRPr="00EB265D">
                    <w:t>Post-operatively</w:t>
                  </w:r>
                </w:p>
              </w:tc>
            </w:tr>
          </w:tbl>
          <w:p w14:paraId="13FCF9B0" w14:textId="77777777" w:rsidR="00D45641" w:rsidRPr="00EB265D" w:rsidRDefault="00D45641" w:rsidP="00D45641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047B39" w:rsidRPr="00047B39" w14:paraId="159DEA50" w14:textId="77777777" w:rsidTr="00DB3A02">
        <w:trPr>
          <w:trHeight w:val="1013"/>
          <w:jc w:val="center"/>
        </w:trPr>
        <w:tc>
          <w:tcPr>
            <w:tcW w:w="10206" w:type="dxa"/>
            <w:gridSpan w:val="2"/>
          </w:tcPr>
          <w:p w14:paraId="00E00455" w14:textId="3CF40A64" w:rsidR="00DD4FA8" w:rsidRPr="00E80840" w:rsidRDefault="004E4684" w:rsidP="00CC119A">
            <w:pPr>
              <w:pStyle w:val="Heading1"/>
            </w:pPr>
            <w:r w:rsidRPr="00E80840">
              <w:lastRenderedPageBreak/>
              <w:fldChar w:fldCharType="begin"/>
            </w:r>
            <w:r w:rsidR="00042107" w:rsidRPr="00E80840">
              <w:instrText xml:space="preserve"> AUTONUM </w:instrText>
            </w:r>
            <w:r w:rsidRPr="00E80840">
              <w:fldChar w:fldCharType="end"/>
            </w:r>
            <w:r w:rsidR="00D45641" w:rsidRPr="00E80840">
              <w:t xml:space="preserve">  </w:t>
            </w:r>
            <w:r w:rsidR="00D11E3A" w:rsidRPr="00E80840">
              <w:t>Guideline</w:t>
            </w:r>
            <w:r w:rsidR="00D45641" w:rsidRPr="00E80840">
              <w:t xml:space="preserve"> Detail</w:t>
            </w:r>
          </w:p>
          <w:p w14:paraId="01FE0CF7" w14:textId="707F2B7A" w:rsidR="007D4AE1" w:rsidRDefault="00D76379" w:rsidP="00CC119A">
            <w:pPr>
              <w:pStyle w:val="Heading2"/>
            </w:pPr>
            <w:r w:rsidRPr="00654FAE">
              <w:t xml:space="preserve">8.1 </w:t>
            </w:r>
            <w:r w:rsidR="007D4AE1">
              <w:t xml:space="preserve"> Suitability</w:t>
            </w:r>
          </w:p>
          <w:p w14:paraId="2EB247FA" w14:textId="65105DA3" w:rsidR="008311FC" w:rsidRPr="00654FAE" w:rsidRDefault="00D76379" w:rsidP="007D4AE1">
            <w:r w:rsidRPr="00654FAE">
              <w:t>This</w:t>
            </w:r>
            <w:r w:rsidR="007D4AE1">
              <w:t xml:space="preserve"> guideline is suitable for:</w:t>
            </w:r>
          </w:p>
          <w:p w14:paraId="1A48FF42" w14:textId="632FBEB5" w:rsidR="008311FC" w:rsidRPr="007D4AE1" w:rsidRDefault="007D4AE1" w:rsidP="00B0465C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000000" w:themeColor="text1"/>
                <w:szCs w:val="18"/>
              </w:rPr>
            </w:pPr>
            <w:r w:rsidRPr="007D4AE1">
              <w:rPr>
                <w:rFonts w:cs="Arial"/>
                <w:color w:val="000000" w:themeColor="text1"/>
                <w:szCs w:val="18"/>
              </w:rPr>
              <w:t>A</w:t>
            </w:r>
            <w:r w:rsidR="008311FC" w:rsidRPr="007D4AE1">
              <w:rPr>
                <w:rFonts w:cs="Arial"/>
                <w:color w:val="000000" w:themeColor="text1"/>
                <w:szCs w:val="18"/>
              </w:rPr>
              <w:t xml:space="preserve">dults receiving steroids equivalent to </w:t>
            </w:r>
            <w:r w:rsidR="008311FC" w:rsidRPr="007D4AE1">
              <w:rPr>
                <w:rFonts w:cs="Arial"/>
                <w:b/>
                <w:color w:val="000000" w:themeColor="text1"/>
                <w:szCs w:val="18"/>
              </w:rPr>
              <w:t>prednisolone ≥ 5 mg for 4 weeks or longer</w:t>
            </w:r>
            <w:r w:rsidRPr="007D4AE1">
              <w:rPr>
                <w:rFonts w:cs="Arial"/>
                <w:b/>
                <w:color w:val="000000" w:themeColor="text1"/>
                <w:szCs w:val="18"/>
              </w:rPr>
              <w:t>.</w:t>
            </w:r>
          </w:p>
          <w:p w14:paraId="3168C6C7" w14:textId="5A91D290" w:rsidR="008311FC" w:rsidRPr="007D4AE1" w:rsidRDefault="007D4AE1" w:rsidP="00B0465C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000000" w:themeColor="text1"/>
                <w:szCs w:val="18"/>
              </w:rPr>
            </w:pPr>
            <w:r w:rsidRPr="007D4AE1">
              <w:rPr>
                <w:rFonts w:cs="Arial"/>
                <w:color w:val="000000" w:themeColor="text1"/>
                <w:szCs w:val="18"/>
              </w:rPr>
              <w:t>A</w:t>
            </w:r>
            <w:r w:rsidR="008311FC" w:rsidRPr="007D4AE1">
              <w:rPr>
                <w:rFonts w:cs="Arial"/>
                <w:color w:val="000000" w:themeColor="text1"/>
                <w:szCs w:val="18"/>
              </w:rPr>
              <w:t xml:space="preserve">dults with primary and secondary insufficiency </w:t>
            </w:r>
            <w:r w:rsidR="00B0465C" w:rsidRPr="007D4AE1">
              <w:rPr>
                <w:rFonts w:cs="Arial"/>
                <w:color w:val="000000" w:themeColor="text1"/>
                <w:szCs w:val="18"/>
              </w:rPr>
              <w:t>e.g.</w:t>
            </w:r>
            <w:r w:rsidR="008311FC" w:rsidRPr="007D4AE1">
              <w:rPr>
                <w:rFonts w:cs="Arial"/>
                <w:color w:val="000000" w:themeColor="text1"/>
                <w:szCs w:val="18"/>
              </w:rPr>
              <w:t xml:space="preserve"> Addison’s disease, congenital adrenal hyperplasia or pituitary/hypothalamic disease</w:t>
            </w:r>
            <w:r w:rsidR="00B0465C" w:rsidRPr="007D4AE1">
              <w:rPr>
                <w:rFonts w:cs="Arial"/>
                <w:color w:val="000000" w:themeColor="text1"/>
                <w:szCs w:val="18"/>
              </w:rPr>
              <w:t>.</w:t>
            </w:r>
          </w:p>
          <w:p w14:paraId="72A73721" w14:textId="77777777" w:rsidR="00993B0A" w:rsidRPr="00EB265D" w:rsidRDefault="00993B0A" w:rsidP="00EB265D">
            <w:pPr>
              <w:pStyle w:val="ListBullet2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szCs w:val="20"/>
              </w:rPr>
            </w:pPr>
          </w:p>
          <w:p w14:paraId="1B564EF7" w14:textId="2BF098BE" w:rsidR="00993B0A" w:rsidRPr="00B0465C" w:rsidRDefault="00B0465C" w:rsidP="00B0465C">
            <w:pPr>
              <w:pStyle w:val="ListBullet2"/>
              <w:numPr>
                <w:ilvl w:val="0"/>
                <w:numId w:val="0"/>
              </w:numPr>
              <w:spacing w:after="60"/>
              <w:rPr>
                <w:rFonts w:cs="Arial"/>
                <w:b/>
                <w:bCs/>
                <w:color w:val="000000" w:themeColor="text1"/>
                <w:szCs w:val="18"/>
              </w:rPr>
            </w:pPr>
            <w:r>
              <w:rPr>
                <w:rFonts w:cs="Arial"/>
                <w:b/>
                <w:bCs/>
                <w:color w:val="000000" w:themeColor="text1"/>
                <w:szCs w:val="18"/>
              </w:rPr>
              <w:t xml:space="preserve">Table 1: </w:t>
            </w:r>
            <w:r w:rsidR="00993B0A" w:rsidRPr="00B0465C">
              <w:rPr>
                <w:rFonts w:cs="Arial"/>
                <w:b/>
                <w:bCs/>
                <w:color w:val="000000" w:themeColor="text1"/>
                <w:szCs w:val="18"/>
              </w:rPr>
              <w:t xml:space="preserve">Approximate relative potency and duration of effect of glucocorticoid </w:t>
            </w:r>
          </w:p>
          <w:tbl>
            <w:tblPr>
              <w:tblStyle w:val="TableGrid"/>
              <w:tblW w:w="8678" w:type="dxa"/>
              <w:tblLayout w:type="fixed"/>
              <w:tblLook w:val="04A0" w:firstRow="1" w:lastRow="0" w:firstColumn="1" w:lastColumn="0" w:noHBand="0" w:noVBand="1"/>
            </w:tblPr>
            <w:tblGrid>
              <w:gridCol w:w="2169"/>
              <w:gridCol w:w="2244"/>
              <w:gridCol w:w="2095"/>
              <w:gridCol w:w="2170"/>
            </w:tblGrid>
            <w:tr w:rsidR="00047B39" w:rsidRPr="003A4F33" w14:paraId="65E2E281" w14:textId="77777777" w:rsidTr="00B0465C">
              <w:trPr>
                <w:trHeight w:val="279"/>
              </w:trPr>
              <w:tc>
                <w:tcPr>
                  <w:tcW w:w="2169" w:type="dxa"/>
                </w:tcPr>
                <w:p w14:paraId="3CFD4E99" w14:textId="7E2427F0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b/>
                      <w:bCs/>
                      <w:color w:val="000000" w:themeColor="text1"/>
                      <w:szCs w:val="18"/>
                    </w:rPr>
                    <w:t>Glucocorticoid</w:t>
                  </w:r>
                </w:p>
              </w:tc>
              <w:tc>
                <w:tcPr>
                  <w:tcW w:w="2244" w:type="dxa"/>
                </w:tcPr>
                <w:p w14:paraId="5CBD0D16" w14:textId="0D4E6A7B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b/>
                      <w:bCs/>
                      <w:color w:val="000000" w:themeColor="text1"/>
                      <w:szCs w:val="18"/>
                    </w:rPr>
                    <w:t>Relative glucocorticoid potency</w:t>
                  </w:r>
                </w:p>
              </w:tc>
              <w:tc>
                <w:tcPr>
                  <w:tcW w:w="2095" w:type="dxa"/>
                </w:tcPr>
                <w:p w14:paraId="5BABE619" w14:textId="3010747A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b/>
                      <w:bCs/>
                      <w:color w:val="000000" w:themeColor="text1"/>
                      <w:szCs w:val="18"/>
                    </w:rPr>
                    <w:t>Equivalent dose for glucocorticoid effect</w:t>
                  </w:r>
                </w:p>
              </w:tc>
              <w:tc>
                <w:tcPr>
                  <w:tcW w:w="2170" w:type="dxa"/>
                </w:tcPr>
                <w:p w14:paraId="6CA73681" w14:textId="13BEF895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b/>
                      <w:bCs/>
                      <w:color w:val="000000" w:themeColor="text1"/>
                      <w:szCs w:val="18"/>
                    </w:rPr>
                    <w:t>Duration of effect</w:t>
                  </w:r>
                </w:p>
              </w:tc>
            </w:tr>
            <w:tr w:rsidR="00047B39" w:rsidRPr="003A4F33" w14:paraId="6E7F6428" w14:textId="77777777" w:rsidTr="00B0465C">
              <w:trPr>
                <w:trHeight w:val="263"/>
              </w:trPr>
              <w:tc>
                <w:tcPr>
                  <w:tcW w:w="2169" w:type="dxa"/>
                </w:tcPr>
                <w:p w14:paraId="4C186194" w14:textId="300A67AB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hydrocortisone</w:t>
                  </w:r>
                </w:p>
              </w:tc>
              <w:tc>
                <w:tcPr>
                  <w:tcW w:w="2244" w:type="dxa"/>
                </w:tcPr>
                <w:p w14:paraId="5E644820" w14:textId="2BD23F99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1</w:t>
                  </w:r>
                </w:p>
              </w:tc>
              <w:tc>
                <w:tcPr>
                  <w:tcW w:w="2095" w:type="dxa"/>
                </w:tcPr>
                <w:p w14:paraId="482FD9E7" w14:textId="5A251838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20 mg</w:t>
                  </w:r>
                </w:p>
              </w:tc>
              <w:tc>
                <w:tcPr>
                  <w:tcW w:w="2170" w:type="dxa"/>
                </w:tcPr>
                <w:p w14:paraId="6EC74A6F" w14:textId="19F29217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8 to 12 hours</w:t>
                  </w:r>
                </w:p>
              </w:tc>
            </w:tr>
            <w:tr w:rsidR="00047B39" w:rsidRPr="003A4F33" w14:paraId="06DB09FA" w14:textId="77777777" w:rsidTr="00B0465C">
              <w:trPr>
                <w:trHeight w:val="279"/>
              </w:trPr>
              <w:tc>
                <w:tcPr>
                  <w:tcW w:w="2169" w:type="dxa"/>
                </w:tcPr>
                <w:p w14:paraId="283238A9" w14:textId="64B74A16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cortisone acetate</w:t>
                  </w:r>
                </w:p>
              </w:tc>
              <w:tc>
                <w:tcPr>
                  <w:tcW w:w="2244" w:type="dxa"/>
                </w:tcPr>
                <w:p w14:paraId="29B4750D" w14:textId="639FF0BE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0.8</w:t>
                  </w:r>
                </w:p>
              </w:tc>
              <w:tc>
                <w:tcPr>
                  <w:tcW w:w="2095" w:type="dxa"/>
                </w:tcPr>
                <w:p w14:paraId="0AFB3C68" w14:textId="0985F508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25 mg</w:t>
                  </w:r>
                </w:p>
              </w:tc>
              <w:tc>
                <w:tcPr>
                  <w:tcW w:w="2170" w:type="dxa"/>
                </w:tcPr>
                <w:p w14:paraId="63491C99" w14:textId="292CB8DB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8 to 12 hours</w:t>
                  </w:r>
                </w:p>
              </w:tc>
            </w:tr>
            <w:tr w:rsidR="00047B39" w:rsidRPr="003A4F33" w14:paraId="00774AD5" w14:textId="77777777" w:rsidTr="00B0465C">
              <w:trPr>
                <w:trHeight w:val="263"/>
              </w:trPr>
              <w:tc>
                <w:tcPr>
                  <w:tcW w:w="2169" w:type="dxa"/>
                </w:tcPr>
                <w:p w14:paraId="1C1A80FB" w14:textId="672E451C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prednisolone</w:t>
                  </w:r>
                </w:p>
              </w:tc>
              <w:tc>
                <w:tcPr>
                  <w:tcW w:w="2244" w:type="dxa"/>
                </w:tcPr>
                <w:p w14:paraId="3FD2E9C3" w14:textId="0AAE208B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4</w:t>
                  </w:r>
                </w:p>
              </w:tc>
              <w:tc>
                <w:tcPr>
                  <w:tcW w:w="2095" w:type="dxa"/>
                </w:tcPr>
                <w:p w14:paraId="195EA9BF" w14:textId="70B0C738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5 mg</w:t>
                  </w:r>
                </w:p>
              </w:tc>
              <w:tc>
                <w:tcPr>
                  <w:tcW w:w="2170" w:type="dxa"/>
                </w:tcPr>
                <w:p w14:paraId="5FA2B7F0" w14:textId="0FE43CB4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12 to 36 hours</w:t>
                  </w:r>
                </w:p>
              </w:tc>
            </w:tr>
            <w:tr w:rsidR="00047B39" w:rsidRPr="003A4F33" w14:paraId="19A26A0A" w14:textId="77777777" w:rsidTr="00B0465C">
              <w:trPr>
                <w:trHeight w:val="279"/>
              </w:trPr>
              <w:tc>
                <w:tcPr>
                  <w:tcW w:w="2169" w:type="dxa"/>
                </w:tcPr>
                <w:p w14:paraId="7B7E7C48" w14:textId="0C3AC88F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dexamethasone</w:t>
                  </w:r>
                </w:p>
              </w:tc>
              <w:tc>
                <w:tcPr>
                  <w:tcW w:w="2244" w:type="dxa"/>
                </w:tcPr>
                <w:p w14:paraId="3E72CB1F" w14:textId="0228F37F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25</w:t>
                  </w:r>
                </w:p>
              </w:tc>
              <w:tc>
                <w:tcPr>
                  <w:tcW w:w="2095" w:type="dxa"/>
                </w:tcPr>
                <w:p w14:paraId="54E7381B" w14:textId="76F53BF1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800 micrograms</w:t>
                  </w:r>
                </w:p>
              </w:tc>
              <w:tc>
                <w:tcPr>
                  <w:tcW w:w="2170" w:type="dxa"/>
                </w:tcPr>
                <w:p w14:paraId="45604777" w14:textId="0BCC2A39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36 to 72 hours</w:t>
                  </w:r>
                </w:p>
              </w:tc>
            </w:tr>
            <w:tr w:rsidR="00047B39" w:rsidRPr="003A4F33" w14:paraId="6F2C41C3" w14:textId="77777777" w:rsidTr="00B0465C">
              <w:trPr>
                <w:trHeight w:val="263"/>
              </w:trPr>
              <w:tc>
                <w:tcPr>
                  <w:tcW w:w="2169" w:type="dxa"/>
                </w:tcPr>
                <w:p w14:paraId="06CAB1E4" w14:textId="0C57A26C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methylprednisolone</w:t>
                  </w:r>
                </w:p>
              </w:tc>
              <w:tc>
                <w:tcPr>
                  <w:tcW w:w="2244" w:type="dxa"/>
                </w:tcPr>
                <w:p w14:paraId="29172A68" w14:textId="666B00FD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5</w:t>
                  </w:r>
                </w:p>
              </w:tc>
              <w:tc>
                <w:tcPr>
                  <w:tcW w:w="2095" w:type="dxa"/>
                </w:tcPr>
                <w:p w14:paraId="78C2A28E" w14:textId="24E7284E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4 mg</w:t>
                  </w:r>
                </w:p>
              </w:tc>
              <w:tc>
                <w:tcPr>
                  <w:tcW w:w="2170" w:type="dxa"/>
                </w:tcPr>
                <w:p w14:paraId="5DE32C6D" w14:textId="07F9F4BF" w:rsidR="009A4CE3" w:rsidRPr="003A4F33" w:rsidRDefault="009A4CE3" w:rsidP="00993B0A">
                  <w:pPr>
                    <w:pStyle w:val="ListBullet2"/>
                    <w:numPr>
                      <w:ilvl w:val="0"/>
                      <w:numId w:val="0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12 to 36 hours</w:t>
                  </w:r>
                </w:p>
              </w:tc>
            </w:tr>
          </w:tbl>
          <w:p w14:paraId="442D730D" w14:textId="3EF2A706" w:rsidR="00993B0A" w:rsidRPr="003A4F33" w:rsidRDefault="003A4F33" w:rsidP="00B0465C">
            <w:pPr>
              <w:pStyle w:val="NormalWeb"/>
              <w:spacing w:before="60" w:beforeAutospacing="0" w:after="0" w:afterAutospacing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A4F33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Note</w:t>
            </w:r>
            <w:r w:rsidR="009A4CE3" w:rsidRPr="003A4F33">
              <w:rPr>
                <w:rFonts w:ascii="Arial" w:hAnsi="Arial" w:cs="Arial"/>
                <w:color w:val="000000" w:themeColor="text1"/>
                <w:sz w:val="18"/>
                <w:szCs w:val="18"/>
              </w:rPr>
              <w:t>: These potencies only apply to oral or intravenous administration of glucocorticoids.</w:t>
            </w:r>
          </w:p>
          <w:p w14:paraId="139C88FF" w14:textId="77777777" w:rsidR="00B0465C" w:rsidRPr="003A4F33" w:rsidRDefault="00B0465C" w:rsidP="00EB265D">
            <w:pPr>
              <w:rPr>
                <w:rFonts w:cs="Arial"/>
                <w:color w:val="000000" w:themeColor="text1"/>
                <w:szCs w:val="18"/>
              </w:rPr>
            </w:pPr>
          </w:p>
          <w:p w14:paraId="63512C31" w14:textId="12371C90" w:rsidR="008311FC" w:rsidRPr="003A4F33" w:rsidRDefault="00B0465C" w:rsidP="00B0465C">
            <w:pPr>
              <w:spacing w:after="60"/>
              <w:rPr>
                <w:rFonts w:cs="Arial"/>
                <w:color w:val="000000" w:themeColor="text1"/>
                <w:szCs w:val="18"/>
              </w:rPr>
            </w:pPr>
            <w:r w:rsidRPr="003A4F33">
              <w:rPr>
                <w:rFonts w:cs="Arial"/>
                <w:b/>
                <w:bCs/>
                <w:color w:val="000000" w:themeColor="text1"/>
                <w:szCs w:val="18"/>
              </w:rPr>
              <w:t xml:space="preserve">Table 2: </w:t>
            </w:r>
            <w:r w:rsidR="00CC119A" w:rsidRPr="003A4F33">
              <w:rPr>
                <w:rFonts w:cs="Arial"/>
                <w:b/>
                <w:bCs/>
                <w:color w:val="000000" w:themeColor="text1"/>
                <w:szCs w:val="18"/>
              </w:rPr>
              <w:t>Recommended dos</w:t>
            </w:r>
            <w:r w:rsidR="008311FC" w:rsidRPr="003A4F33">
              <w:rPr>
                <w:rFonts w:cs="Arial"/>
                <w:b/>
                <w:bCs/>
                <w:color w:val="000000" w:themeColor="text1"/>
                <w:szCs w:val="18"/>
              </w:rPr>
              <w:t>age</w:t>
            </w:r>
            <w:r w:rsidR="00CC119A" w:rsidRPr="003A4F33">
              <w:rPr>
                <w:rFonts w:cs="Arial"/>
                <w:b/>
                <w:bCs/>
                <w:color w:val="000000" w:themeColor="text1"/>
                <w:szCs w:val="18"/>
              </w:rPr>
              <w:t xml:space="preserve"> for intra- and postoperative steroid cover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78"/>
              <w:gridCol w:w="3828"/>
              <w:gridCol w:w="4252"/>
            </w:tblGrid>
            <w:tr w:rsidR="00047B39" w:rsidRPr="003A4F33" w14:paraId="284314EC" w14:textId="77777777" w:rsidTr="00B0465C">
              <w:trPr>
                <w:trHeight w:val="432"/>
              </w:trPr>
              <w:tc>
                <w:tcPr>
                  <w:tcW w:w="1578" w:type="dxa"/>
                </w:tcPr>
                <w:p w14:paraId="690AC861" w14:textId="77777777" w:rsidR="00CC119A" w:rsidRPr="003A4F33" w:rsidRDefault="00CC119A" w:rsidP="00CC119A">
                  <w:pPr>
                    <w:rPr>
                      <w:rFonts w:cs="Arial"/>
                      <w:b/>
                      <w:color w:val="000000" w:themeColor="text1"/>
                      <w:szCs w:val="18"/>
                    </w:rPr>
                  </w:pPr>
                </w:p>
              </w:tc>
              <w:tc>
                <w:tcPr>
                  <w:tcW w:w="3828" w:type="dxa"/>
                </w:tcPr>
                <w:p w14:paraId="5DB62C6B" w14:textId="77777777" w:rsidR="00CC119A" w:rsidRPr="003A4F33" w:rsidRDefault="00CC119A" w:rsidP="00B0465C">
                  <w:pPr>
                    <w:jc w:val="center"/>
                    <w:rPr>
                      <w:rFonts w:cs="Arial"/>
                      <w:b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b/>
                      <w:color w:val="000000" w:themeColor="text1"/>
                      <w:szCs w:val="18"/>
                    </w:rPr>
                    <w:t>Intraoperative steroid replacement</w:t>
                  </w:r>
                </w:p>
              </w:tc>
              <w:tc>
                <w:tcPr>
                  <w:tcW w:w="4252" w:type="dxa"/>
                </w:tcPr>
                <w:p w14:paraId="30D2F664" w14:textId="77777777" w:rsidR="00CC119A" w:rsidRPr="003A4F33" w:rsidRDefault="00CC119A" w:rsidP="00B0465C">
                  <w:pPr>
                    <w:jc w:val="center"/>
                    <w:rPr>
                      <w:rFonts w:cs="Arial"/>
                      <w:b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b/>
                      <w:color w:val="000000" w:themeColor="text1"/>
                      <w:szCs w:val="18"/>
                    </w:rPr>
                    <w:t>Postoperative steroid replacement</w:t>
                  </w:r>
                </w:p>
              </w:tc>
            </w:tr>
            <w:tr w:rsidR="00047B39" w:rsidRPr="003A4F33" w14:paraId="38F5E81A" w14:textId="77777777" w:rsidTr="00B0465C">
              <w:tc>
                <w:tcPr>
                  <w:tcW w:w="1578" w:type="dxa"/>
                </w:tcPr>
                <w:p w14:paraId="2DD10748" w14:textId="77777777" w:rsidR="00B0465C" w:rsidRPr="003A4F33" w:rsidRDefault="00CC119A" w:rsidP="00CC119A">
                  <w:pPr>
                    <w:rPr>
                      <w:rFonts w:cs="Arial"/>
                      <w:b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b/>
                      <w:color w:val="000000" w:themeColor="text1"/>
                      <w:szCs w:val="18"/>
                    </w:rPr>
                    <w:t xml:space="preserve">Major surgery </w:t>
                  </w:r>
                </w:p>
                <w:p w14:paraId="7944BE4E" w14:textId="77777777" w:rsidR="00B0465C" w:rsidRPr="003A4F33" w:rsidRDefault="00B0465C" w:rsidP="00CC119A">
                  <w:pPr>
                    <w:rPr>
                      <w:rFonts w:cs="Arial"/>
                      <w:b/>
                      <w:color w:val="000000" w:themeColor="text1"/>
                      <w:szCs w:val="18"/>
                    </w:rPr>
                  </w:pPr>
                </w:p>
                <w:p w14:paraId="30867D39" w14:textId="34771F5A" w:rsidR="00CC119A" w:rsidRPr="003A4F33" w:rsidRDefault="00CC119A" w:rsidP="00CC119A">
                  <w:pPr>
                    <w:rPr>
                      <w:rFonts w:cs="Arial"/>
                      <w:b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b/>
                      <w:color w:val="000000" w:themeColor="text1"/>
                      <w:szCs w:val="18"/>
                    </w:rPr>
                    <w:t>(general or regional anaesthesia)</w:t>
                  </w:r>
                  <w:r w:rsidR="00B0465C" w:rsidRPr="003A4F33">
                    <w:rPr>
                      <w:rFonts w:cs="Arial"/>
                      <w:b/>
                      <w:color w:val="000000" w:themeColor="text1"/>
                      <w:szCs w:val="18"/>
                    </w:rPr>
                    <w:t xml:space="preserve"> </w:t>
                  </w:r>
                  <w:r w:rsidR="00250BC0" w:rsidRPr="003A4F33">
                    <w:rPr>
                      <w:rFonts w:cs="Arial"/>
                      <w:b/>
                      <w:color w:val="000000" w:themeColor="text1"/>
                      <w:szCs w:val="18"/>
                    </w:rPr>
                    <w:t>including caesarean section</w:t>
                  </w:r>
                </w:p>
              </w:tc>
              <w:tc>
                <w:tcPr>
                  <w:tcW w:w="3828" w:type="dxa"/>
                </w:tcPr>
                <w:p w14:paraId="1CF389C6" w14:textId="113C55D5" w:rsidR="00CC119A" w:rsidRPr="003A4F33" w:rsidRDefault="00CC119A" w:rsidP="00CC119A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100mg hydrocortisone </w:t>
                  </w:r>
                  <w:r w:rsidR="00216230"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IV </w:t>
                  </w: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on induction </w:t>
                  </w:r>
                </w:p>
              </w:tc>
              <w:tc>
                <w:tcPr>
                  <w:tcW w:w="4252" w:type="dxa"/>
                </w:tcPr>
                <w:p w14:paraId="1C9A2C11" w14:textId="1896C41E" w:rsidR="007A5623" w:rsidRPr="003A4F33" w:rsidRDefault="007A5623" w:rsidP="006924A9">
                  <w:pPr>
                    <w:pStyle w:val="ListParagraph"/>
                    <w:numPr>
                      <w:ilvl w:val="0"/>
                      <w:numId w:val="27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50 mg hydrocortisone IV Q6H until tolerating oral intake</w:t>
                  </w:r>
                  <w:r w:rsidR="00187B06" w:rsidRPr="003A4F33">
                    <w:rPr>
                      <w:rFonts w:cs="Arial"/>
                      <w:color w:val="000000" w:themeColor="text1"/>
                      <w:szCs w:val="18"/>
                    </w:rPr>
                    <w:t>.</w:t>
                  </w:r>
                </w:p>
                <w:p w14:paraId="0F9DE594" w14:textId="77777777" w:rsidR="00CC119A" w:rsidRPr="003A4F33" w:rsidRDefault="00CC119A" w:rsidP="00645FD9">
                  <w:pPr>
                    <w:pStyle w:val="ListParagraph"/>
                    <w:ind w:left="360"/>
                    <w:rPr>
                      <w:rFonts w:cs="Arial"/>
                      <w:color w:val="000000" w:themeColor="text1"/>
                      <w:szCs w:val="18"/>
                    </w:rPr>
                  </w:pPr>
                </w:p>
                <w:p w14:paraId="64746461" w14:textId="68FD42D4" w:rsidR="00187B06" w:rsidRPr="003A4F33" w:rsidRDefault="00DD012E" w:rsidP="00187B06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Once </w:t>
                  </w:r>
                  <w:r w:rsidR="008053CD"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tolerating oral intake, </w:t>
                  </w: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double patient’s usual dose of </w:t>
                  </w:r>
                  <w:r w:rsidR="00311E2A"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glucocorticoid </w:t>
                  </w:r>
                  <w:r w:rsidR="00F025B3"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(e.g. prednisolone, </w:t>
                  </w: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hydrocortisone or cortisone acetate</w:t>
                  </w:r>
                  <w:r w:rsidR="00F025B3" w:rsidRPr="003A4F33">
                    <w:rPr>
                      <w:rFonts w:cs="Arial"/>
                      <w:color w:val="000000" w:themeColor="text1"/>
                      <w:szCs w:val="18"/>
                    </w:rPr>
                    <w:t>)</w:t>
                  </w: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 for </w:t>
                  </w:r>
                  <w:r w:rsidR="00C7054E" w:rsidRPr="003A4F33">
                    <w:rPr>
                      <w:rFonts w:cs="Arial"/>
                      <w:color w:val="000000" w:themeColor="text1"/>
                      <w:szCs w:val="18"/>
                    </w:rPr>
                    <w:t>2 days</w:t>
                  </w:r>
                  <w:r w:rsidR="00841B8C"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 (</w:t>
                  </w: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up to 1 week for major surgery)</w:t>
                  </w:r>
                  <w:r w:rsidR="00771683"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. </w:t>
                  </w:r>
                </w:p>
                <w:p w14:paraId="56F9BCF8" w14:textId="77777777" w:rsidR="00187B06" w:rsidRPr="003A4F33" w:rsidRDefault="00187B06" w:rsidP="00187B06">
                  <w:pPr>
                    <w:pStyle w:val="ListParagraph"/>
                    <w:ind w:left="360"/>
                    <w:rPr>
                      <w:rFonts w:cs="Arial"/>
                      <w:color w:val="000000" w:themeColor="text1"/>
                      <w:szCs w:val="18"/>
                    </w:rPr>
                  </w:pPr>
                </w:p>
                <w:p w14:paraId="2DDA8BEF" w14:textId="594FC639" w:rsidR="00DD012E" w:rsidRPr="003A4F33" w:rsidRDefault="00771683" w:rsidP="00442CA1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>Seek advice from the Endocrinology &amp; Diabetes Unit</w:t>
                  </w:r>
                  <w:r w:rsidR="00AE232A"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 if </w:t>
                  </w:r>
                  <w:r w:rsidR="00377077"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complicated recovery or </w:t>
                  </w:r>
                  <w:r w:rsidR="00AE232A"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unsure. </w:t>
                  </w:r>
                </w:p>
                <w:p w14:paraId="4452D659" w14:textId="40A069D8" w:rsidR="00CC119A" w:rsidRPr="003A4F33" w:rsidRDefault="00CC119A" w:rsidP="00250BC0">
                  <w:pPr>
                    <w:rPr>
                      <w:rFonts w:cs="Arial"/>
                      <w:color w:val="000000" w:themeColor="text1"/>
                      <w:szCs w:val="18"/>
                    </w:rPr>
                  </w:pPr>
                </w:p>
              </w:tc>
            </w:tr>
            <w:tr w:rsidR="00047B39" w:rsidRPr="003A4F33" w14:paraId="25B40BEB" w14:textId="77777777" w:rsidTr="00187B06">
              <w:trPr>
                <w:trHeight w:val="1105"/>
              </w:trPr>
              <w:tc>
                <w:tcPr>
                  <w:tcW w:w="1578" w:type="dxa"/>
                </w:tcPr>
                <w:p w14:paraId="03D72FE3" w14:textId="65095164" w:rsidR="00894D14" w:rsidRPr="003A4F33" w:rsidRDefault="00894D14">
                  <w:pPr>
                    <w:rPr>
                      <w:rFonts w:cs="Arial"/>
                      <w:b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b/>
                      <w:color w:val="000000" w:themeColor="text1"/>
                      <w:szCs w:val="18"/>
                    </w:rPr>
                    <w:t>M</w:t>
                  </w:r>
                  <w:r w:rsidR="00CC119A" w:rsidRPr="003A4F33">
                    <w:rPr>
                      <w:rFonts w:cs="Arial"/>
                      <w:b/>
                      <w:color w:val="000000" w:themeColor="text1"/>
                      <w:szCs w:val="18"/>
                    </w:rPr>
                    <w:t>inor surgery</w:t>
                  </w:r>
                </w:p>
                <w:p w14:paraId="56675EA8" w14:textId="77777777" w:rsidR="00B0465C" w:rsidRPr="003A4F33" w:rsidRDefault="00B0465C">
                  <w:pPr>
                    <w:rPr>
                      <w:rFonts w:cs="Arial"/>
                      <w:b/>
                      <w:color w:val="000000" w:themeColor="text1"/>
                      <w:szCs w:val="18"/>
                    </w:rPr>
                  </w:pPr>
                </w:p>
                <w:p w14:paraId="4CD60A22" w14:textId="213D5471" w:rsidR="00CC119A" w:rsidRPr="003A4F33" w:rsidRDefault="003A4F33">
                  <w:pPr>
                    <w:rPr>
                      <w:rFonts w:cs="Arial"/>
                      <w:b/>
                      <w:color w:val="000000" w:themeColor="text1"/>
                      <w:szCs w:val="18"/>
                    </w:rPr>
                  </w:pPr>
                  <w:r>
                    <w:rPr>
                      <w:rFonts w:cs="Arial"/>
                      <w:b/>
                      <w:color w:val="000000" w:themeColor="text1"/>
                      <w:szCs w:val="18"/>
                    </w:rPr>
                    <w:t>(d</w:t>
                  </w:r>
                  <w:r w:rsidR="00894D14" w:rsidRPr="003A4F33">
                    <w:rPr>
                      <w:rFonts w:cs="Arial"/>
                      <w:b/>
                      <w:color w:val="000000" w:themeColor="text1"/>
                      <w:szCs w:val="18"/>
                    </w:rPr>
                    <w:t>ay surgery)</w:t>
                  </w:r>
                </w:p>
              </w:tc>
              <w:tc>
                <w:tcPr>
                  <w:tcW w:w="3828" w:type="dxa"/>
                </w:tcPr>
                <w:p w14:paraId="1BD8625E" w14:textId="24F7F737" w:rsidR="00377077" w:rsidRPr="003A4F33" w:rsidRDefault="0013186C" w:rsidP="00CC119A">
                  <w:pPr>
                    <w:pStyle w:val="ListParagraph"/>
                    <w:numPr>
                      <w:ilvl w:val="0"/>
                      <w:numId w:val="26"/>
                    </w:numPr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Cs w:val="18"/>
                    </w:rPr>
                    <w:t xml:space="preserve">100mg hydrocortisone IV on induction </w:t>
                  </w:r>
                </w:p>
              </w:tc>
              <w:tc>
                <w:tcPr>
                  <w:tcW w:w="4252" w:type="dxa"/>
                </w:tcPr>
                <w:p w14:paraId="3B365ACC" w14:textId="77777777" w:rsidR="00CC119A" w:rsidRPr="003A4F33" w:rsidRDefault="00377077" w:rsidP="00645FD9">
                  <w:pPr>
                    <w:pStyle w:val="CommentText"/>
                    <w:numPr>
                      <w:ilvl w:val="0"/>
                      <w:numId w:val="25"/>
                    </w:numPr>
                    <w:rPr>
                      <w:rFonts w:cs="Arial"/>
                      <w:color w:val="000000" w:themeColor="text1"/>
                      <w:sz w:val="18"/>
                      <w:szCs w:val="18"/>
                    </w:rPr>
                  </w:pPr>
                  <w:r w:rsidRPr="003A4F3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>D</w:t>
                  </w:r>
                  <w:r w:rsidR="00250BC0" w:rsidRPr="003A4F3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>ouble</w:t>
                  </w:r>
                  <w:r w:rsidRPr="003A4F3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 xml:space="preserve"> patient’s usual</w:t>
                  </w:r>
                  <w:r w:rsidR="00250BC0" w:rsidRPr="003A4F3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 xml:space="preserve"> dose of glucocorticoid therapy (e.g. </w:t>
                  </w:r>
                  <w:r w:rsidR="0094302F" w:rsidRPr="003A4F3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>p</w:t>
                  </w:r>
                  <w:r w:rsidR="00250BC0" w:rsidRPr="003A4F3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>rednisolone)</w:t>
                  </w:r>
                  <w:r w:rsidR="00FA4A03" w:rsidRPr="003A4F3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 xml:space="preserve"> for</w:t>
                  </w:r>
                  <w:r w:rsidR="002E0F9D" w:rsidRPr="003A4F3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C7054E" w:rsidRPr="003A4F3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>2 days</w:t>
                  </w:r>
                  <w:r w:rsidR="002E0F9D" w:rsidRPr="003A4F3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 xml:space="preserve"> post operatively</w:t>
                  </w:r>
                  <w:r w:rsidRPr="003A4F33">
                    <w:rPr>
                      <w:rFonts w:cs="Arial"/>
                      <w:color w:val="000000" w:themeColor="text1"/>
                      <w:sz w:val="18"/>
                      <w:szCs w:val="18"/>
                    </w:rPr>
                    <w:t xml:space="preserve">, then resume usual dose thereafter. </w:t>
                  </w:r>
                </w:p>
                <w:p w14:paraId="28176CC2" w14:textId="356A55F2" w:rsidR="00187B06" w:rsidRPr="003A4F33" w:rsidRDefault="00187B06" w:rsidP="00187B06">
                  <w:pPr>
                    <w:pStyle w:val="CommentText"/>
                    <w:ind w:left="360"/>
                    <w:rPr>
                      <w:rFonts w:cs="Arial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6204DC19" w14:textId="2074512D" w:rsidR="00DD4FA8" w:rsidRPr="003A4F33" w:rsidRDefault="00DD4FA8" w:rsidP="00DD4FA8">
            <w:pPr>
              <w:pStyle w:val="Heading2"/>
              <w:rPr>
                <w:color w:val="000000" w:themeColor="text1"/>
                <w:sz w:val="18"/>
                <w:szCs w:val="18"/>
              </w:rPr>
            </w:pPr>
          </w:p>
          <w:p w14:paraId="6F7C8B96" w14:textId="323DE8DB" w:rsidR="00DD4FA8" w:rsidRPr="00654FAE" w:rsidRDefault="00DD4FA8" w:rsidP="00654FAE">
            <w:pPr>
              <w:pStyle w:val="Heading3"/>
              <w:rPr>
                <w:sz w:val="19"/>
              </w:rPr>
            </w:pPr>
            <w:r w:rsidRPr="00654FAE">
              <w:rPr>
                <w:sz w:val="19"/>
              </w:rPr>
              <w:t xml:space="preserve">8.1.1 </w:t>
            </w:r>
            <w:r w:rsidR="007D4AE1">
              <w:rPr>
                <w:sz w:val="19"/>
              </w:rPr>
              <w:t xml:space="preserve"> </w:t>
            </w:r>
            <w:r w:rsidR="00371A72" w:rsidRPr="00654FAE">
              <w:rPr>
                <w:sz w:val="19"/>
              </w:rPr>
              <w:t xml:space="preserve">Special </w:t>
            </w:r>
            <w:r w:rsidR="007D4AE1">
              <w:rPr>
                <w:sz w:val="19"/>
              </w:rPr>
              <w:t>C</w:t>
            </w:r>
            <w:r w:rsidR="00371A72" w:rsidRPr="00654FAE">
              <w:rPr>
                <w:sz w:val="19"/>
              </w:rPr>
              <w:t xml:space="preserve">onsiderations and </w:t>
            </w:r>
            <w:r w:rsidR="007D4AE1">
              <w:rPr>
                <w:sz w:val="19"/>
              </w:rPr>
              <w:t>R</w:t>
            </w:r>
            <w:r w:rsidR="00371A72" w:rsidRPr="00654FAE">
              <w:rPr>
                <w:sz w:val="19"/>
              </w:rPr>
              <w:t>ecommendations</w:t>
            </w:r>
          </w:p>
          <w:p w14:paraId="1803F7E6" w14:textId="434E68B8" w:rsidR="00DD4FA8" w:rsidRPr="007D4AE1" w:rsidRDefault="00301062" w:rsidP="007D4AE1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000000" w:themeColor="text1"/>
                <w:szCs w:val="18"/>
              </w:rPr>
            </w:pPr>
            <w:r w:rsidRPr="007D4AE1">
              <w:rPr>
                <w:rFonts w:cs="Arial"/>
                <w:color w:val="000000" w:themeColor="text1"/>
                <w:szCs w:val="18"/>
              </w:rPr>
              <w:t>P</w:t>
            </w:r>
            <w:r w:rsidR="00FD0E06" w:rsidRPr="007D4AE1">
              <w:rPr>
                <w:rFonts w:cs="Arial"/>
                <w:color w:val="000000" w:themeColor="text1"/>
                <w:szCs w:val="18"/>
              </w:rPr>
              <w:t>atients with adrenal insufficiency</w:t>
            </w:r>
            <w:r w:rsidRPr="007D4AE1">
              <w:rPr>
                <w:rFonts w:cs="Arial"/>
                <w:color w:val="000000" w:themeColor="text1"/>
                <w:szCs w:val="18"/>
              </w:rPr>
              <w:t xml:space="preserve"> should be flagged at preadmission clinic</w:t>
            </w:r>
            <w:r w:rsidR="00C976DD" w:rsidRPr="007D4AE1">
              <w:rPr>
                <w:rFonts w:cs="Arial"/>
                <w:color w:val="000000" w:themeColor="text1"/>
                <w:szCs w:val="18"/>
              </w:rPr>
              <w:t>,</w:t>
            </w:r>
            <w:r w:rsidRPr="007D4AE1">
              <w:rPr>
                <w:rFonts w:cs="Arial"/>
                <w:color w:val="000000" w:themeColor="text1"/>
                <w:szCs w:val="18"/>
              </w:rPr>
              <w:t xml:space="preserve"> where possible</w:t>
            </w:r>
            <w:r w:rsidR="00C976DD" w:rsidRPr="007D4AE1">
              <w:rPr>
                <w:rFonts w:cs="Arial"/>
                <w:color w:val="000000" w:themeColor="text1"/>
                <w:szCs w:val="18"/>
              </w:rPr>
              <w:t>,</w:t>
            </w:r>
            <w:r w:rsidRPr="007D4AE1">
              <w:rPr>
                <w:rFonts w:cs="Arial"/>
                <w:color w:val="000000" w:themeColor="text1"/>
                <w:szCs w:val="18"/>
              </w:rPr>
              <w:t xml:space="preserve"> and booked as</w:t>
            </w:r>
            <w:r w:rsidR="00FD0E06" w:rsidRPr="007D4AE1">
              <w:rPr>
                <w:rFonts w:cs="Arial"/>
                <w:color w:val="000000" w:themeColor="text1"/>
                <w:szCs w:val="18"/>
              </w:rPr>
              <w:t xml:space="preserve"> first on operative lists to minimise dehydration and fasting</w:t>
            </w:r>
            <w:r w:rsidR="00187B06" w:rsidRPr="007D4AE1">
              <w:rPr>
                <w:rFonts w:cs="Arial"/>
                <w:color w:val="000000" w:themeColor="text1"/>
                <w:szCs w:val="18"/>
              </w:rPr>
              <w:t>.</w:t>
            </w:r>
          </w:p>
          <w:p w14:paraId="0AE5B725" w14:textId="7683C930" w:rsidR="005B240B" w:rsidRPr="007D4AE1" w:rsidRDefault="005B240B" w:rsidP="007D4AE1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000000" w:themeColor="text1"/>
                <w:szCs w:val="18"/>
              </w:rPr>
            </w:pPr>
            <w:r w:rsidRPr="007D4AE1">
              <w:rPr>
                <w:rFonts w:cs="Arial"/>
                <w:color w:val="000000" w:themeColor="text1"/>
                <w:szCs w:val="18"/>
              </w:rPr>
              <w:t>If the patient</w:t>
            </w:r>
            <w:r w:rsidR="00187B06" w:rsidRPr="007D4AE1">
              <w:rPr>
                <w:rFonts w:cs="Arial"/>
                <w:color w:val="000000" w:themeColor="text1"/>
                <w:szCs w:val="18"/>
              </w:rPr>
              <w:t>,</w:t>
            </w:r>
            <w:r w:rsidRPr="007D4AE1">
              <w:rPr>
                <w:rFonts w:cs="Arial"/>
                <w:color w:val="000000" w:themeColor="text1"/>
                <w:szCs w:val="18"/>
              </w:rPr>
              <w:t xml:space="preserve"> after having weaned to oral dosing</w:t>
            </w:r>
            <w:r w:rsidR="00187B06" w:rsidRPr="007D4AE1">
              <w:rPr>
                <w:rFonts w:cs="Arial"/>
                <w:color w:val="000000" w:themeColor="text1"/>
                <w:szCs w:val="18"/>
              </w:rPr>
              <w:t>,</w:t>
            </w:r>
            <w:r w:rsidRPr="007D4AE1">
              <w:rPr>
                <w:rFonts w:cs="Arial"/>
                <w:color w:val="000000" w:themeColor="text1"/>
                <w:szCs w:val="18"/>
              </w:rPr>
              <w:t xml:space="preserve"> develops symptoms or signs of adrenal crisis (</w:t>
            </w:r>
            <w:r w:rsidR="00187B06" w:rsidRPr="007D4AE1">
              <w:rPr>
                <w:rFonts w:cs="Arial"/>
                <w:color w:val="000000" w:themeColor="text1"/>
                <w:szCs w:val="18"/>
              </w:rPr>
              <w:t>e.g.</w:t>
            </w:r>
            <w:r w:rsidRPr="007D4AE1">
              <w:rPr>
                <w:rFonts w:cs="Arial"/>
                <w:color w:val="000000" w:themeColor="text1"/>
                <w:szCs w:val="18"/>
              </w:rPr>
              <w:t xml:space="preserve"> abdominal pain, nausea and vomiting, hypotension, or hypoglycaemia), recommence IV hydrocortisone at 50mg Q6H and contact the Endocrinology &amp; Diabetes Unit.</w:t>
            </w:r>
          </w:p>
          <w:p w14:paraId="7357CCE3" w14:textId="3A156DAC" w:rsidR="0082067F" w:rsidRPr="007D4AE1" w:rsidRDefault="00D76D7A" w:rsidP="007D4AE1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000000" w:themeColor="text1"/>
                <w:szCs w:val="18"/>
              </w:rPr>
            </w:pPr>
            <w:r w:rsidRPr="007D4AE1">
              <w:rPr>
                <w:rFonts w:cs="Arial"/>
                <w:color w:val="000000" w:themeColor="text1"/>
                <w:szCs w:val="18"/>
              </w:rPr>
              <w:t xml:space="preserve">If the patient also has diabetes, increased doses of glucocorticoid may lead to hyperglycaemia. Check BGL pre-operatively and at least 6 hourly post-operatively. </w:t>
            </w:r>
            <w:r w:rsidR="004C547E" w:rsidRPr="007D4AE1">
              <w:rPr>
                <w:rFonts w:cs="Arial"/>
                <w:color w:val="000000" w:themeColor="text1"/>
                <w:szCs w:val="18"/>
              </w:rPr>
              <w:t>C</w:t>
            </w:r>
            <w:r w:rsidRPr="007D4AE1">
              <w:rPr>
                <w:rFonts w:cs="Arial"/>
                <w:color w:val="000000" w:themeColor="text1"/>
                <w:szCs w:val="18"/>
              </w:rPr>
              <w:t xml:space="preserve">ontact the Endocrinology &amp; Diabetes Unit </w:t>
            </w:r>
            <w:r w:rsidR="004C547E" w:rsidRPr="007D4AE1">
              <w:rPr>
                <w:rFonts w:cs="Arial"/>
                <w:color w:val="000000" w:themeColor="text1"/>
                <w:szCs w:val="18"/>
              </w:rPr>
              <w:t>for advice regarding</w:t>
            </w:r>
            <w:r w:rsidRPr="007D4AE1">
              <w:rPr>
                <w:rFonts w:cs="Arial"/>
                <w:color w:val="000000" w:themeColor="text1"/>
                <w:szCs w:val="18"/>
              </w:rPr>
              <w:t xml:space="preserve"> all patients with known diabetes </w:t>
            </w:r>
            <w:r w:rsidR="0076367E" w:rsidRPr="007D4AE1">
              <w:rPr>
                <w:rFonts w:cs="Arial"/>
                <w:color w:val="000000" w:themeColor="text1"/>
                <w:szCs w:val="18"/>
              </w:rPr>
              <w:t xml:space="preserve">(including Gestational Diabetes Mellitus) </w:t>
            </w:r>
            <w:r w:rsidRPr="007D4AE1">
              <w:rPr>
                <w:rFonts w:cs="Arial"/>
                <w:color w:val="000000" w:themeColor="text1"/>
                <w:szCs w:val="18"/>
              </w:rPr>
              <w:t>who are treated with increased doses of glucocorticoid therapy.</w:t>
            </w:r>
            <w:r w:rsidR="001D64FD" w:rsidRPr="007D4AE1">
              <w:rPr>
                <w:rFonts w:cs="Arial"/>
                <w:color w:val="000000" w:themeColor="text1"/>
                <w:szCs w:val="18"/>
              </w:rPr>
              <w:t xml:space="preserve"> </w:t>
            </w:r>
          </w:p>
          <w:p w14:paraId="0F82F621" w14:textId="2B76FEB4" w:rsidR="00D76D7A" w:rsidRPr="007D4AE1" w:rsidRDefault="00D76D7A" w:rsidP="007D4AE1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000000" w:themeColor="text1"/>
                <w:szCs w:val="18"/>
              </w:rPr>
            </w:pPr>
            <w:r w:rsidRPr="007D4AE1">
              <w:rPr>
                <w:rFonts w:cs="Arial"/>
                <w:color w:val="000000" w:themeColor="text1"/>
                <w:szCs w:val="18"/>
              </w:rPr>
              <w:t>If the patient does not have known diabetes, increased doses of glucocorticoid may cause steroid induced diabetes</w:t>
            </w:r>
            <w:r w:rsidR="003B488A" w:rsidRPr="007D4AE1">
              <w:rPr>
                <w:rFonts w:cs="Arial"/>
                <w:color w:val="000000" w:themeColor="text1"/>
                <w:szCs w:val="18"/>
              </w:rPr>
              <w:t>. If the patient is an inpatient, check BGLs twice daily for the first 48 hours postoperatively. If BGLs are elevated, contact the Endocrinology &amp; Diabetes Unit for advice.</w:t>
            </w:r>
            <w:r w:rsidRPr="007D4AE1">
              <w:rPr>
                <w:rFonts w:cs="Arial"/>
                <w:color w:val="000000" w:themeColor="text1"/>
                <w:szCs w:val="18"/>
              </w:rPr>
              <w:t xml:space="preserve"> </w:t>
            </w:r>
          </w:p>
          <w:p w14:paraId="446EADF3" w14:textId="61043F4A" w:rsidR="002E0F9D" w:rsidRPr="007D4AE1" w:rsidRDefault="002E0F9D" w:rsidP="007D4AE1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000000" w:themeColor="text1"/>
                <w:szCs w:val="18"/>
              </w:rPr>
            </w:pPr>
            <w:r w:rsidRPr="007D4AE1">
              <w:rPr>
                <w:rFonts w:cs="Arial"/>
                <w:color w:val="000000" w:themeColor="text1"/>
                <w:szCs w:val="18"/>
              </w:rPr>
              <w:t xml:space="preserve">Oral and parenteral hydrocortisone are considered safe to use during breastfeeding. </w:t>
            </w:r>
          </w:p>
          <w:p w14:paraId="7AFCD119" w14:textId="633336CA" w:rsidR="001F30EB" w:rsidRDefault="001F30EB" w:rsidP="007D4AE1">
            <w:pPr>
              <w:pStyle w:val="ListParagraph"/>
              <w:numPr>
                <w:ilvl w:val="0"/>
                <w:numId w:val="30"/>
              </w:numPr>
              <w:rPr>
                <w:rFonts w:cs="Arial"/>
                <w:color w:val="000000" w:themeColor="text1"/>
                <w:szCs w:val="18"/>
              </w:rPr>
            </w:pPr>
            <w:r w:rsidRPr="007D4AE1">
              <w:rPr>
                <w:rFonts w:cs="Arial"/>
                <w:color w:val="000000" w:themeColor="text1"/>
                <w:szCs w:val="18"/>
              </w:rPr>
              <w:t xml:space="preserve">Hydrocortisone does not cross the placenta sufficiently to contribute to </w:t>
            </w:r>
            <w:r w:rsidR="00187B06" w:rsidRPr="007D4AE1">
              <w:rPr>
                <w:rFonts w:cs="Arial"/>
                <w:color w:val="000000" w:themeColor="text1"/>
                <w:szCs w:val="18"/>
              </w:rPr>
              <w:t>foetal lung maturation, therefore b</w:t>
            </w:r>
            <w:r w:rsidRPr="007D4AE1">
              <w:rPr>
                <w:rFonts w:cs="Arial"/>
                <w:color w:val="000000" w:themeColor="text1"/>
                <w:szCs w:val="18"/>
              </w:rPr>
              <w:t xml:space="preserve">etamethasone should be administered at the usual dose. </w:t>
            </w:r>
          </w:p>
          <w:p w14:paraId="06FC3C31" w14:textId="3B5FB6C2" w:rsidR="003A4F33" w:rsidRPr="00EB265D" w:rsidRDefault="003A4F33" w:rsidP="003A4F33"/>
        </w:tc>
      </w:tr>
      <w:tr w:rsidR="00047B39" w:rsidRPr="00047B39" w14:paraId="07E124F0" w14:textId="77777777" w:rsidTr="00442CA1">
        <w:trPr>
          <w:trHeight w:val="1209"/>
          <w:jc w:val="center"/>
        </w:trPr>
        <w:tc>
          <w:tcPr>
            <w:tcW w:w="10206" w:type="dxa"/>
            <w:gridSpan w:val="2"/>
          </w:tcPr>
          <w:p w14:paraId="6632AF9D" w14:textId="72484052" w:rsidR="00D45641" w:rsidRPr="00E80840" w:rsidRDefault="004E4684" w:rsidP="00264602">
            <w:pPr>
              <w:pStyle w:val="Heading1"/>
            </w:pPr>
            <w:r w:rsidRPr="00E80840">
              <w:lastRenderedPageBreak/>
              <w:fldChar w:fldCharType="begin"/>
            </w:r>
            <w:r w:rsidR="00042107" w:rsidRPr="00E80840">
              <w:instrText xml:space="preserve"> AUTONUM </w:instrText>
            </w:r>
            <w:r w:rsidRPr="00E80840">
              <w:fldChar w:fldCharType="end"/>
            </w:r>
            <w:r w:rsidR="00D45641" w:rsidRPr="00E80840">
              <w:t xml:space="preserve">  Document History</w:t>
            </w:r>
          </w:p>
          <w:p w14:paraId="41880ED9" w14:textId="04F61DF0" w:rsidR="00D45641" w:rsidRDefault="00D45641" w:rsidP="00654FAE">
            <w:r w:rsidRPr="00EB265D">
              <w:t xml:space="preserve">Number of </w:t>
            </w:r>
            <w:r w:rsidR="005E72FE" w:rsidRPr="00EB265D">
              <w:t xml:space="preserve">previous </w:t>
            </w:r>
            <w:r w:rsidR="00654FAE">
              <w:t>revisions: new document</w:t>
            </w:r>
          </w:p>
          <w:p w14:paraId="70E73E27" w14:textId="77777777" w:rsidR="00654FAE" w:rsidRPr="00EB265D" w:rsidRDefault="00654FAE" w:rsidP="00654FAE"/>
          <w:p w14:paraId="01AF4297" w14:textId="77777777" w:rsidR="00D45641" w:rsidRDefault="005E72FE" w:rsidP="00654FAE">
            <w:r w:rsidRPr="00EB265D">
              <w:t>Previous i</w:t>
            </w:r>
            <w:r w:rsidR="00D45641" w:rsidRPr="00EB265D">
              <w:t xml:space="preserve">ssue dates: </w:t>
            </w:r>
            <w:r w:rsidR="00654FAE">
              <w:t>not applicable this version</w:t>
            </w:r>
          </w:p>
          <w:p w14:paraId="4E7C0BE5" w14:textId="09A45DCD" w:rsidR="00654FAE" w:rsidRPr="00EB265D" w:rsidRDefault="00654FAE" w:rsidP="00654FAE"/>
        </w:tc>
      </w:tr>
      <w:tr w:rsidR="00047B39" w:rsidRPr="00047B39" w14:paraId="5737294A" w14:textId="77777777" w:rsidTr="00DB3A02">
        <w:trPr>
          <w:trHeight w:val="839"/>
          <w:jc w:val="center"/>
        </w:trPr>
        <w:tc>
          <w:tcPr>
            <w:tcW w:w="10206" w:type="dxa"/>
            <w:gridSpan w:val="2"/>
          </w:tcPr>
          <w:p w14:paraId="6352CF5F" w14:textId="1B4A274B" w:rsidR="00D45641" w:rsidRPr="00E80840" w:rsidRDefault="00654FAE" w:rsidP="00264602">
            <w:pPr>
              <w:pStyle w:val="Heading1"/>
            </w:pPr>
            <w:r>
              <w:t>10.  References</w:t>
            </w:r>
          </w:p>
          <w:p w14:paraId="7AEA5496" w14:textId="5792CBD9" w:rsidR="00D45641" w:rsidRPr="00EB265D" w:rsidRDefault="00FD0E06" w:rsidP="00654FAE">
            <w:pPr>
              <w:rPr>
                <w:rStyle w:val="Hyperlink"/>
                <w:rFonts w:cs="Arial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EB265D">
              <w:rPr>
                <w:shd w:val="clear" w:color="auto" w:fill="FFFFFF"/>
              </w:rPr>
              <w:t xml:space="preserve">Woodcock T, Barker P, Daniel </w:t>
            </w:r>
            <w:proofErr w:type="spellStart"/>
            <w:r w:rsidRPr="00EB265D">
              <w:rPr>
                <w:shd w:val="clear" w:color="auto" w:fill="FFFFFF"/>
              </w:rPr>
              <w:t>S</w:t>
            </w:r>
            <w:r w:rsidR="004B1A6A" w:rsidRPr="00EB265D">
              <w:rPr>
                <w:shd w:val="clear" w:color="auto" w:fill="FFFFFF"/>
              </w:rPr>
              <w:t xml:space="preserve"> et</w:t>
            </w:r>
            <w:proofErr w:type="spellEnd"/>
            <w:r w:rsidR="004B1A6A" w:rsidRPr="00EB265D">
              <w:rPr>
                <w:shd w:val="clear" w:color="auto" w:fill="FFFFFF"/>
              </w:rPr>
              <w:t>. al.</w:t>
            </w:r>
            <w:r w:rsidRPr="00EB265D">
              <w:rPr>
                <w:shd w:val="clear" w:color="auto" w:fill="FFFFFF"/>
              </w:rPr>
              <w:t xml:space="preserve"> Guidelines for the management of glucocorticoids during the peri</w:t>
            </w:r>
            <w:r w:rsidRPr="00EB265D">
              <w:rPr>
                <w:rFonts w:ascii="Cambria Math" w:hAnsi="Cambria Math" w:cs="Cambria Math"/>
                <w:shd w:val="clear" w:color="auto" w:fill="FFFFFF"/>
              </w:rPr>
              <w:t>‐</w:t>
            </w:r>
            <w:r w:rsidRPr="00EB265D">
              <w:rPr>
                <w:shd w:val="clear" w:color="auto" w:fill="FFFFFF"/>
              </w:rPr>
              <w:t xml:space="preserve">operative period for patients with adrenal insufficiency. Anaesthesia. </w:t>
            </w:r>
            <w:r w:rsidR="004B1A6A" w:rsidRPr="00EB265D">
              <w:rPr>
                <w:shd w:val="clear" w:color="auto" w:fill="FFFFFF"/>
              </w:rPr>
              <w:t>2020;</w:t>
            </w:r>
            <w:r w:rsidR="005561D9" w:rsidRPr="00EB265D">
              <w:rPr>
                <w:shd w:val="clear" w:color="auto" w:fill="FFFFFF"/>
              </w:rPr>
              <w:t xml:space="preserve"> 75: 654-663</w:t>
            </w:r>
            <w:r w:rsidR="004B1A6A" w:rsidRPr="00EB265D">
              <w:rPr>
                <w:shd w:val="clear" w:color="auto" w:fill="FFFFFF"/>
              </w:rPr>
              <w:t xml:space="preserve"> </w:t>
            </w:r>
          </w:p>
          <w:p w14:paraId="0ABBFFF9" w14:textId="77777777" w:rsidR="00FD0E06" w:rsidRPr="00EB265D" w:rsidRDefault="00FD0E06" w:rsidP="00654FAE">
            <w:pPr>
              <w:rPr>
                <w:rStyle w:val="Hyperlink"/>
                <w:rFonts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957A223" w14:textId="35A31CFF" w:rsidR="00FD0E06" w:rsidRPr="00EB265D" w:rsidRDefault="00FD0E06" w:rsidP="00654FAE">
            <w:r w:rsidRPr="00EB265D">
              <w:t>O’Neill F, Carter E, Pink N, Smith I. Routine preoperative tests for elective surgery: summary of updated NICE guidance. BMJ</w:t>
            </w:r>
            <w:r w:rsidR="004B1A6A" w:rsidRPr="00EB265D">
              <w:t>.</w:t>
            </w:r>
            <w:r w:rsidRPr="00EB265D">
              <w:t xml:space="preserve"> 2016</w:t>
            </w:r>
            <w:r w:rsidR="004B1A6A" w:rsidRPr="00EB265D">
              <w:t xml:space="preserve">; </w:t>
            </w:r>
            <w:r w:rsidRPr="00EB265D">
              <w:t>354:i3292.</w:t>
            </w:r>
          </w:p>
          <w:p w14:paraId="61F3F8C5" w14:textId="77777777" w:rsidR="005A3A9C" w:rsidRPr="00EB265D" w:rsidRDefault="005A3A9C" w:rsidP="00654FAE"/>
          <w:p w14:paraId="1684EB76" w14:textId="30728598" w:rsidR="005A3A9C" w:rsidRPr="00EB265D" w:rsidRDefault="005A3A9C" w:rsidP="00654FAE">
            <w:r w:rsidRPr="00EB265D">
              <w:t>Therapeutic Guidelines</w:t>
            </w:r>
            <w:r w:rsidR="00B82A16" w:rsidRPr="00EB265D">
              <w:t>.</w:t>
            </w:r>
            <w:r w:rsidRPr="00EB265D">
              <w:t xml:space="preserve">  Bone &amp; Metabolism Chapter  </w:t>
            </w:r>
            <w:hyperlink r:id="rId10" w:history="1">
              <w:r w:rsidR="004B1A6A" w:rsidRPr="00EB265D">
                <w:rPr>
                  <w:rStyle w:val="Hyperlink"/>
                  <w:rFonts w:cs="Arial"/>
                  <w:color w:val="000000" w:themeColor="text1"/>
                  <w:sz w:val="20"/>
                  <w:szCs w:val="20"/>
                </w:rPr>
                <w:t>https://tgldcdp.tg.org.au/etgcomplete accessed 5 May 2020</w:t>
              </w:r>
            </w:hyperlink>
          </w:p>
          <w:p w14:paraId="0AB48273" w14:textId="77777777" w:rsidR="004B1A6A" w:rsidRPr="00EB265D" w:rsidRDefault="004B1A6A" w:rsidP="00654FAE"/>
          <w:p w14:paraId="1AD8E914" w14:textId="77777777" w:rsidR="004B1A6A" w:rsidRPr="00EB265D" w:rsidRDefault="004B1A6A" w:rsidP="00654FAE">
            <w:pPr>
              <w:rPr>
                <w:lang w:eastAsia="en-AU"/>
              </w:rPr>
            </w:pPr>
            <w:r w:rsidRPr="00EB265D">
              <w:rPr>
                <w:bCs/>
                <w:lang w:eastAsia="en-AU"/>
              </w:rPr>
              <w:t xml:space="preserve">Bornstein S, </w:t>
            </w:r>
            <w:proofErr w:type="spellStart"/>
            <w:r w:rsidRPr="00EB265D">
              <w:rPr>
                <w:bCs/>
                <w:lang w:eastAsia="en-AU"/>
              </w:rPr>
              <w:t>Allolio</w:t>
            </w:r>
            <w:proofErr w:type="spellEnd"/>
            <w:r w:rsidRPr="00EB265D">
              <w:rPr>
                <w:bCs/>
                <w:lang w:eastAsia="en-AU"/>
              </w:rPr>
              <w:t xml:space="preserve"> B, </w:t>
            </w:r>
            <w:proofErr w:type="spellStart"/>
            <w:r w:rsidRPr="00EB265D">
              <w:rPr>
                <w:bCs/>
                <w:lang w:eastAsia="en-AU"/>
              </w:rPr>
              <w:t>Arlt</w:t>
            </w:r>
            <w:proofErr w:type="spellEnd"/>
            <w:r w:rsidRPr="00EB265D">
              <w:rPr>
                <w:bCs/>
                <w:lang w:eastAsia="en-AU"/>
              </w:rPr>
              <w:t xml:space="preserve"> W et. al. Diagnosis and Treatment of Primary Adrenal Insufficiency: An Endocrine Society Clinical Practice Guideline. </w:t>
            </w:r>
            <w:r w:rsidRPr="00EB265D">
              <w:rPr>
                <w:lang w:eastAsia="en-AU"/>
              </w:rPr>
              <w:t xml:space="preserve">J Clin Endocrinol </w:t>
            </w:r>
            <w:proofErr w:type="spellStart"/>
            <w:r w:rsidRPr="00EB265D">
              <w:rPr>
                <w:lang w:eastAsia="en-AU"/>
              </w:rPr>
              <w:t>Metab</w:t>
            </w:r>
            <w:proofErr w:type="spellEnd"/>
            <w:r w:rsidRPr="00EB265D">
              <w:rPr>
                <w:lang w:eastAsia="en-AU"/>
              </w:rPr>
              <w:t>. 2016; 101(2):364–389</w:t>
            </w:r>
          </w:p>
          <w:p w14:paraId="0E726DD9" w14:textId="77777777" w:rsidR="003B084C" w:rsidRPr="00EB265D" w:rsidRDefault="003B084C" w:rsidP="00654FAE">
            <w:pPr>
              <w:rPr>
                <w:lang w:eastAsia="en-AU"/>
              </w:rPr>
            </w:pPr>
          </w:p>
          <w:p w14:paraId="1CA0B0B8" w14:textId="77777777" w:rsidR="003B084C" w:rsidRPr="00EB265D" w:rsidRDefault="003B084C" w:rsidP="00654FAE">
            <w:pPr>
              <w:rPr>
                <w:lang w:eastAsia="en-AU"/>
              </w:rPr>
            </w:pPr>
            <w:r w:rsidRPr="00EB265D">
              <w:rPr>
                <w:lang w:eastAsia="en-AU"/>
              </w:rPr>
              <w:t>Hydrocortisone. The Royal Women’s Hospital Pregnancy and Breastfeeding Medicines Guide (online). Last updated 26</w:t>
            </w:r>
            <w:r w:rsidRPr="00EB265D">
              <w:rPr>
                <w:vertAlign w:val="superscript"/>
                <w:lang w:eastAsia="en-AU"/>
              </w:rPr>
              <w:t>th</w:t>
            </w:r>
            <w:r w:rsidRPr="00EB265D">
              <w:rPr>
                <w:lang w:eastAsia="en-AU"/>
              </w:rPr>
              <w:t xml:space="preserve"> Nov 2019. Accessed 19</w:t>
            </w:r>
            <w:r w:rsidRPr="00EB265D">
              <w:rPr>
                <w:vertAlign w:val="superscript"/>
                <w:lang w:eastAsia="en-AU"/>
              </w:rPr>
              <w:t>th</w:t>
            </w:r>
            <w:r w:rsidRPr="00EB265D">
              <w:rPr>
                <w:lang w:eastAsia="en-AU"/>
              </w:rPr>
              <w:t xml:space="preserve"> May 2020. </w:t>
            </w:r>
          </w:p>
          <w:p w14:paraId="5BA834F8" w14:textId="77777777" w:rsidR="003B084C" w:rsidRPr="00EB265D" w:rsidRDefault="003B084C" w:rsidP="00654FAE">
            <w:pPr>
              <w:rPr>
                <w:lang w:eastAsia="en-AU"/>
              </w:rPr>
            </w:pPr>
          </w:p>
          <w:p w14:paraId="5F04FBCA" w14:textId="6685C2AD" w:rsidR="003B084C" w:rsidRPr="00EB265D" w:rsidRDefault="003B084C" w:rsidP="00654FAE">
            <w:pPr>
              <w:rPr>
                <w:lang w:eastAsia="en-AU"/>
              </w:rPr>
            </w:pPr>
            <w:r w:rsidRPr="00EB265D">
              <w:rPr>
                <w:lang w:eastAsia="en-AU"/>
              </w:rPr>
              <w:t>AIDH 8</w:t>
            </w:r>
            <w:r w:rsidRPr="00EB265D">
              <w:rPr>
                <w:vertAlign w:val="superscript"/>
                <w:lang w:eastAsia="en-AU"/>
              </w:rPr>
              <w:t>th</w:t>
            </w:r>
            <w:r w:rsidRPr="00EB265D">
              <w:rPr>
                <w:lang w:eastAsia="en-AU"/>
              </w:rPr>
              <w:t xml:space="preserve"> edition (online). Last updated 7</w:t>
            </w:r>
            <w:r w:rsidRPr="00EB265D">
              <w:rPr>
                <w:vertAlign w:val="superscript"/>
                <w:lang w:eastAsia="en-AU"/>
              </w:rPr>
              <w:t>th</w:t>
            </w:r>
            <w:r w:rsidRPr="00EB265D">
              <w:rPr>
                <w:lang w:eastAsia="en-AU"/>
              </w:rPr>
              <w:t xml:space="preserve"> Feb 2020. Accessed 19</w:t>
            </w:r>
            <w:r w:rsidRPr="00EB265D">
              <w:rPr>
                <w:vertAlign w:val="superscript"/>
                <w:lang w:eastAsia="en-AU"/>
              </w:rPr>
              <w:t>th</w:t>
            </w:r>
            <w:r w:rsidRPr="00EB265D">
              <w:rPr>
                <w:lang w:eastAsia="en-AU"/>
              </w:rPr>
              <w:t xml:space="preserve"> May 2020. </w:t>
            </w:r>
          </w:p>
          <w:p w14:paraId="679B9886" w14:textId="7A9AB863" w:rsidR="003B084C" w:rsidRPr="00EB265D" w:rsidRDefault="003B084C" w:rsidP="00442CA1">
            <w:pPr>
              <w:autoSpaceDE w:val="0"/>
              <w:autoSpaceDN w:val="0"/>
              <w:adjustRightInd w:val="0"/>
              <w:rPr>
                <w:rFonts w:cs="Arial"/>
                <w:bCs/>
                <w:color w:val="000000" w:themeColor="text1"/>
                <w:sz w:val="20"/>
                <w:szCs w:val="20"/>
                <w:lang w:eastAsia="en-AU"/>
              </w:rPr>
            </w:pPr>
          </w:p>
        </w:tc>
      </w:tr>
      <w:tr w:rsidR="00047B39" w:rsidRPr="00047B39" w14:paraId="053F24AE" w14:textId="77777777" w:rsidTr="00DB3A02">
        <w:trPr>
          <w:jc w:val="center"/>
        </w:trPr>
        <w:tc>
          <w:tcPr>
            <w:tcW w:w="10206" w:type="dxa"/>
            <w:gridSpan w:val="2"/>
          </w:tcPr>
          <w:p w14:paraId="7A37E933" w14:textId="45FFB40F" w:rsidR="00D45641" w:rsidRPr="00E80840" w:rsidRDefault="00654FAE" w:rsidP="00264602">
            <w:pPr>
              <w:pStyle w:val="Heading1"/>
            </w:pPr>
            <w:r>
              <w:t>11.</w:t>
            </w:r>
            <w:r w:rsidR="00D45641" w:rsidRPr="00E80840">
              <w:t xml:space="preserve">  Sponsor</w:t>
            </w:r>
          </w:p>
          <w:p w14:paraId="0200C1E3" w14:textId="320769FF" w:rsidR="00654FAE" w:rsidRPr="00EB265D" w:rsidRDefault="00654FAE" w:rsidP="00654FAE">
            <w:r w:rsidRPr="00654FAE">
              <w:t>Director of Anaesthesia and Pain Management</w:t>
            </w:r>
          </w:p>
          <w:p w14:paraId="15FF7BDA" w14:textId="77777777" w:rsidR="00D45641" w:rsidRPr="00EB265D" w:rsidRDefault="00D45641" w:rsidP="00EE7E1C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D45641" w:rsidRPr="00EB265D" w14:paraId="7C5F0E35" w14:textId="77777777" w:rsidTr="00DB3A02">
        <w:trPr>
          <w:jc w:val="center"/>
        </w:trPr>
        <w:tc>
          <w:tcPr>
            <w:tcW w:w="10206" w:type="dxa"/>
            <w:gridSpan w:val="2"/>
          </w:tcPr>
          <w:p w14:paraId="626EC974" w14:textId="37D56757" w:rsidR="00D45641" w:rsidRPr="00E80840" w:rsidRDefault="00654FAE" w:rsidP="00264602">
            <w:pPr>
              <w:pStyle w:val="Heading1"/>
            </w:pPr>
            <w:r>
              <w:t>12.</w:t>
            </w:r>
            <w:r w:rsidR="00D45641" w:rsidRPr="00E80840">
              <w:t xml:space="preserve">  </w:t>
            </w:r>
            <w:r w:rsidR="0099221A" w:rsidRPr="00E80840">
              <w:t>Authorisation</w:t>
            </w:r>
            <w:r w:rsidR="00D45641" w:rsidRPr="00E80840">
              <w:t xml:space="preserve"> Authority</w:t>
            </w:r>
          </w:p>
          <w:p w14:paraId="0A99B80C" w14:textId="1A7B42F4" w:rsidR="002A63DD" w:rsidRPr="00EB265D" w:rsidRDefault="00A87F0C" w:rsidP="00654FAE">
            <w:r w:rsidRPr="00EB265D">
              <w:t>Chief Medical Officer</w:t>
            </w:r>
          </w:p>
          <w:p w14:paraId="4F33415B" w14:textId="77777777" w:rsidR="002A63DD" w:rsidRPr="00EB265D" w:rsidRDefault="002A63DD" w:rsidP="00EE7E1C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65B0F266" w14:textId="77777777" w:rsidR="008707C6" w:rsidRPr="00EB265D" w:rsidRDefault="008707C6" w:rsidP="00D45641">
      <w:pPr>
        <w:rPr>
          <w:rFonts w:cs="Arial"/>
          <w:color w:val="000000" w:themeColor="text1"/>
          <w:sz w:val="20"/>
          <w:szCs w:val="20"/>
        </w:rPr>
      </w:pPr>
    </w:p>
    <w:sectPr w:rsidR="008707C6" w:rsidRPr="00EB265D" w:rsidSect="001A25F8">
      <w:footerReference w:type="default" r:id="rId11"/>
      <w:headerReference w:type="first" r:id="rId12"/>
      <w:footerReference w:type="first" r:id="rId13"/>
      <w:pgSz w:w="11906" w:h="16838" w:code="9"/>
      <w:pgMar w:top="794" w:right="907" w:bottom="794" w:left="907" w:header="284" w:footer="284" w:gutter="0"/>
      <w:pgNumType w:start="1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DD35C" w14:textId="77777777" w:rsidR="00410A4E" w:rsidRDefault="00410A4E">
      <w:r>
        <w:separator/>
      </w:r>
    </w:p>
  </w:endnote>
  <w:endnote w:type="continuationSeparator" w:id="0">
    <w:p w14:paraId="7A945575" w14:textId="77777777" w:rsidR="00410A4E" w:rsidRDefault="0041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51"/>
      <w:gridCol w:w="5455"/>
    </w:tblGrid>
    <w:tr w:rsidR="00CE6F39" w:rsidRPr="00703753" w14:paraId="21E6A05A" w14:textId="77777777" w:rsidTr="008D6C9D">
      <w:trPr>
        <w:jc w:val="center"/>
      </w:trPr>
      <w:tc>
        <w:tcPr>
          <w:tcW w:w="4685" w:type="dxa"/>
        </w:tcPr>
        <w:p w14:paraId="7A55BB3F" w14:textId="49756057" w:rsidR="00CE6F39" w:rsidRPr="00703753" w:rsidRDefault="00E80840" w:rsidP="00E80840">
          <w:pPr>
            <w:rPr>
              <w:b/>
              <w:sz w:val="14"/>
            </w:rPr>
          </w:pPr>
          <w:r w:rsidRPr="00E80840">
            <w:rPr>
              <w:b/>
              <w:sz w:val="14"/>
            </w:rPr>
            <w:t>OG-GC6 Peri-operative Steroid Cover for Adult Patients taking Steroid Therapy</w:t>
          </w:r>
        </w:p>
      </w:tc>
      <w:tc>
        <w:tcPr>
          <w:tcW w:w="5380" w:type="dxa"/>
        </w:tcPr>
        <w:p w14:paraId="45FD4FAE" w14:textId="77777777" w:rsidR="00CE6F39" w:rsidRPr="00703753" w:rsidRDefault="00CE6F39" w:rsidP="008D6C9D">
          <w:pPr>
            <w:jc w:val="right"/>
            <w:rPr>
              <w:b/>
              <w:sz w:val="14"/>
            </w:rPr>
          </w:pPr>
          <w:r w:rsidRPr="00703753">
            <w:rPr>
              <w:b/>
              <w:sz w:val="14"/>
            </w:rPr>
            <w:t xml:space="preserve">Page </w:t>
          </w:r>
          <w:r w:rsidR="004E4684" w:rsidRPr="00703753">
            <w:rPr>
              <w:b/>
              <w:sz w:val="14"/>
            </w:rPr>
            <w:fldChar w:fldCharType="begin"/>
          </w:r>
          <w:r w:rsidRPr="00703753">
            <w:rPr>
              <w:b/>
              <w:sz w:val="14"/>
            </w:rPr>
            <w:instrText xml:space="preserve"> PAGE </w:instrText>
          </w:r>
          <w:r w:rsidR="004E4684" w:rsidRPr="00703753">
            <w:rPr>
              <w:b/>
              <w:sz w:val="14"/>
            </w:rPr>
            <w:fldChar w:fldCharType="separate"/>
          </w:r>
          <w:r w:rsidR="000A51BC">
            <w:rPr>
              <w:b/>
              <w:noProof/>
              <w:sz w:val="14"/>
            </w:rPr>
            <w:t>2</w:t>
          </w:r>
          <w:r w:rsidR="004E4684" w:rsidRPr="00703753">
            <w:rPr>
              <w:b/>
              <w:sz w:val="14"/>
            </w:rPr>
            <w:fldChar w:fldCharType="end"/>
          </w:r>
          <w:r w:rsidRPr="00703753">
            <w:rPr>
              <w:b/>
              <w:sz w:val="14"/>
            </w:rPr>
            <w:t xml:space="preserve"> of </w:t>
          </w:r>
          <w:r w:rsidR="004E4684" w:rsidRPr="00703753">
            <w:rPr>
              <w:b/>
              <w:sz w:val="14"/>
            </w:rPr>
            <w:fldChar w:fldCharType="begin"/>
          </w:r>
          <w:r w:rsidRPr="00703753">
            <w:rPr>
              <w:b/>
              <w:sz w:val="14"/>
            </w:rPr>
            <w:instrText xml:space="preserve"> NUMPAGES </w:instrText>
          </w:r>
          <w:r w:rsidR="004E4684" w:rsidRPr="00703753">
            <w:rPr>
              <w:b/>
              <w:sz w:val="14"/>
            </w:rPr>
            <w:fldChar w:fldCharType="separate"/>
          </w:r>
          <w:r w:rsidR="000A51BC">
            <w:rPr>
              <w:b/>
              <w:noProof/>
              <w:sz w:val="14"/>
            </w:rPr>
            <w:t>3</w:t>
          </w:r>
          <w:r w:rsidR="004E4684" w:rsidRPr="00703753">
            <w:rPr>
              <w:b/>
              <w:sz w:val="14"/>
            </w:rPr>
            <w:fldChar w:fldCharType="end"/>
          </w:r>
        </w:p>
      </w:tc>
    </w:tr>
  </w:tbl>
  <w:p w14:paraId="27A263E1" w14:textId="77777777" w:rsidR="00344FA9" w:rsidRPr="00CE6F39" w:rsidRDefault="00344FA9" w:rsidP="00CE6F3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51"/>
      <w:gridCol w:w="5455"/>
    </w:tblGrid>
    <w:tr w:rsidR="001A25F8" w:rsidRPr="00703753" w14:paraId="1503C4E9" w14:textId="77777777" w:rsidTr="00651DF7">
      <w:trPr>
        <w:jc w:val="center"/>
      </w:trPr>
      <w:tc>
        <w:tcPr>
          <w:tcW w:w="4685" w:type="dxa"/>
        </w:tcPr>
        <w:p w14:paraId="54D6B8AA" w14:textId="04423EA2" w:rsidR="001A25F8" w:rsidRPr="00703753" w:rsidRDefault="00E80840" w:rsidP="00E80840">
          <w:pPr>
            <w:rPr>
              <w:b/>
              <w:sz w:val="14"/>
            </w:rPr>
          </w:pPr>
          <w:r w:rsidRPr="00E80840">
            <w:rPr>
              <w:b/>
              <w:sz w:val="14"/>
            </w:rPr>
            <w:t xml:space="preserve">OG-GC6 Peri-operative Steroid Cover for Adult Patients taking Steroid Therapy </w:t>
          </w:r>
        </w:p>
      </w:tc>
      <w:tc>
        <w:tcPr>
          <w:tcW w:w="5380" w:type="dxa"/>
        </w:tcPr>
        <w:p w14:paraId="4C773A48" w14:textId="77777777" w:rsidR="001A25F8" w:rsidRPr="00703753" w:rsidRDefault="001A25F8" w:rsidP="00651DF7">
          <w:pPr>
            <w:jc w:val="right"/>
            <w:rPr>
              <w:b/>
              <w:sz w:val="14"/>
            </w:rPr>
          </w:pPr>
          <w:r w:rsidRPr="00703753">
            <w:rPr>
              <w:b/>
              <w:sz w:val="14"/>
            </w:rPr>
            <w:t xml:space="preserve">Page </w:t>
          </w:r>
          <w:r w:rsidR="004E4684" w:rsidRPr="00703753">
            <w:rPr>
              <w:b/>
              <w:sz w:val="14"/>
            </w:rPr>
            <w:fldChar w:fldCharType="begin"/>
          </w:r>
          <w:r w:rsidRPr="00703753">
            <w:rPr>
              <w:b/>
              <w:sz w:val="14"/>
            </w:rPr>
            <w:instrText xml:space="preserve"> PAGE </w:instrText>
          </w:r>
          <w:r w:rsidR="004E4684" w:rsidRPr="00703753">
            <w:rPr>
              <w:b/>
              <w:sz w:val="14"/>
            </w:rPr>
            <w:fldChar w:fldCharType="separate"/>
          </w:r>
          <w:r w:rsidR="000A51BC">
            <w:rPr>
              <w:b/>
              <w:noProof/>
              <w:sz w:val="14"/>
            </w:rPr>
            <w:t>1</w:t>
          </w:r>
          <w:r w:rsidR="004E4684" w:rsidRPr="00703753">
            <w:rPr>
              <w:b/>
              <w:sz w:val="14"/>
            </w:rPr>
            <w:fldChar w:fldCharType="end"/>
          </w:r>
          <w:r w:rsidRPr="00703753">
            <w:rPr>
              <w:b/>
              <w:sz w:val="14"/>
            </w:rPr>
            <w:t xml:space="preserve"> of </w:t>
          </w:r>
          <w:r w:rsidR="004E4684" w:rsidRPr="00703753">
            <w:rPr>
              <w:b/>
              <w:sz w:val="14"/>
            </w:rPr>
            <w:fldChar w:fldCharType="begin"/>
          </w:r>
          <w:r w:rsidRPr="00703753">
            <w:rPr>
              <w:b/>
              <w:sz w:val="14"/>
            </w:rPr>
            <w:instrText xml:space="preserve"> NUMPAGES </w:instrText>
          </w:r>
          <w:r w:rsidR="004E4684" w:rsidRPr="00703753">
            <w:rPr>
              <w:b/>
              <w:sz w:val="14"/>
            </w:rPr>
            <w:fldChar w:fldCharType="separate"/>
          </w:r>
          <w:r w:rsidR="000A51BC">
            <w:rPr>
              <w:b/>
              <w:noProof/>
              <w:sz w:val="14"/>
            </w:rPr>
            <w:t>3</w:t>
          </w:r>
          <w:r w:rsidR="004E4684" w:rsidRPr="00703753">
            <w:rPr>
              <w:b/>
              <w:sz w:val="14"/>
            </w:rPr>
            <w:fldChar w:fldCharType="end"/>
          </w:r>
        </w:p>
      </w:tc>
    </w:tr>
  </w:tbl>
  <w:p w14:paraId="4CA5CF92" w14:textId="77777777" w:rsidR="00344FA9" w:rsidRPr="001A25F8" w:rsidRDefault="00344FA9" w:rsidP="00E808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0B2A4" w14:textId="77777777" w:rsidR="00410A4E" w:rsidRDefault="00410A4E">
      <w:r>
        <w:separator/>
      </w:r>
    </w:p>
  </w:footnote>
  <w:footnote w:type="continuationSeparator" w:id="0">
    <w:p w14:paraId="05C4474E" w14:textId="77777777" w:rsidR="00410A4E" w:rsidRDefault="00410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0C4AA" w14:textId="77777777" w:rsidR="001A25F8" w:rsidRDefault="0018394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14FCE751" wp14:editId="4542B876">
          <wp:simplePos x="0" y="0"/>
          <wp:positionH relativeFrom="column">
            <wp:posOffset>5156835</wp:posOffset>
          </wp:positionH>
          <wp:positionV relativeFrom="paragraph">
            <wp:posOffset>0</wp:posOffset>
          </wp:positionV>
          <wp:extent cx="1252855" cy="2686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AA830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D81A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889C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72F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4EC0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7A82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382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25DC"/>
    <w:lvl w:ilvl="0">
      <w:start w:val="1"/>
      <w:numFmt w:val="bullet"/>
      <w:pStyle w:val="ListBullet2"/>
      <w:lvlText w:val="o"/>
      <w:lvlJc w:val="left"/>
      <w:pPr>
        <w:tabs>
          <w:tab w:val="num" w:pos="1361"/>
        </w:tabs>
        <w:ind w:left="1361" w:hanging="340"/>
      </w:pPr>
      <w:rPr>
        <w:rFonts w:ascii="Courier New" w:hAnsi="Courier New" w:hint="default"/>
        <w:sz w:val="16"/>
      </w:rPr>
    </w:lvl>
  </w:abstractNum>
  <w:abstractNum w:abstractNumId="8" w15:restartNumberingAfterBreak="0">
    <w:nsid w:val="FFFFFF89"/>
    <w:multiLevelType w:val="singleLevel"/>
    <w:tmpl w:val="368E476E"/>
    <w:lvl w:ilvl="0">
      <w:start w:val="1"/>
      <w:numFmt w:val="bullet"/>
      <w:pStyle w:val="List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</w:abstractNum>
  <w:abstractNum w:abstractNumId="9" w15:restartNumberingAfterBreak="0">
    <w:nsid w:val="078B0883"/>
    <w:multiLevelType w:val="multilevel"/>
    <w:tmpl w:val="6A0A60EA"/>
    <w:lvl w:ilvl="0">
      <w:start w:val="7"/>
      <w:numFmt w:val="decimal"/>
      <w:lvlText w:val="%1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34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0" w15:restartNumberingAfterBreak="0">
    <w:nsid w:val="0ACE2BB5"/>
    <w:multiLevelType w:val="multilevel"/>
    <w:tmpl w:val="86643696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161"/>
        </w:tabs>
        <w:ind w:left="1161" w:hanging="648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169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77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53"/>
        </w:tabs>
        <w:ind w:left="3753" w:hanging="1440"/>
      </w:pPr>
      <w:rPr>
        <w:rFonts w:hint="default"/>
      </w:rPr>
    </w:lvl>
  </w:abstractNum>
  <w:abstractNum w:abstractNumId="11" w15:restartNumberingAfterBreak="0">
    <w:nsid w:val="0F38154B"/>
    <w:multiLevelType w:val="hybridMultilevel"/>
    <w:tmpl w:val="0BC4CE2C"/>
    <w:lvl w:ilvl="0" w:tplc="7B4210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904C9F"/>
    <w:multiLevelType w:val="hybridMultilevel"/>
    <w:tmpl w:val="6E18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7485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5D82766"/>
    <w:multiLevelType w:val="multilevel"/>
    <w:tmpl w:val="92125DF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8E342D4"/>
    <w:multiLevelType w:val="hybridMultilevel"/>
    <w:tmpl w:val="F6362F72"/>
    <w:lvl w:ilvl="0" w:tplc="84C621E0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1" w:tplc="023295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C086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F25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BCF2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364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E68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7E9C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440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E662E"/>
    <w:multiLevelType w:val="hybridMultilevel"/>
    <w:tmpl w:val="8EA6F17C"/>
    <w:lvl w:ilvl="0" w:tplc="82989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B270D"/>
    <w:multiLevelType w:val="hybridMultilevel"/>
    <w:tmpl w:val="79EA7EF6"/>
    <w:lvl w:ilvl="0" w:tplc="FF74B9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5D4D25"/>
    <w:multiLevelType w:val="multilevel"/>
    <w:tmpl w:val="9662A4A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3087"/>
        </w:tabs>
        <w:ind w:left="2295" w:hanging="648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27"/>
        </w:tabs>
        <w:ind w:left="4887" w:hanging="1440"/>
      </w:pPr>
      <w:rPr>
        <w:rFonts w:hint="default"/>
      </w:rPr>
    </w:lvl>
  </w:abstractNum>
  <w:abstractNum w:abstractNumId="19" w15:restartNumberingAfterBreak="0">
    <w:nsid w:val="44204DF0"/>
    <w:multiLevelType w:val="multilevel"/>
    <w:tmpl w:val="C5F6281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45C55B08"/>
    <w:multiLevelType w:val="multilevel"/>
    <w:tmpl w:val="C5F62812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6BB3C02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9741ADD"/>
    <w:multiLevelType w:val="hybridMultilevel"/>
    <w:tmpl w:val="79C2ABD2"/>
    <w:lvl w:ilvl="0" w:tplc="EB0CF306">
      <w:start w:val="1"/>
      <w:numFmt w:val="bullet"/>
      <w:lvlText w:val=""/>
      <w:lvlJc w:val="left"/>
      <w:pPr>
        <w:tabs>
          <w:tab w:val="num" w:pos="397"/>
        </w:tabs>
        <w:ind w:left="397" w:hanging="170"/>
      </w:pPr>
      <w:rPr>
        <w:rFonts w:ascii="Symbol" w:hAnsi="Symbol" w:hint="default"/>
      </w:rPr>
    </w:lvl>
    <w:lvl w:ilvl="1" w:tplc="C540C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8E3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47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A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220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08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A46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FC1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64AD0"/>
    <w:multiLevelType w:val="hybridMultilevel"/>
    <w:tmpl w:val="6CA6A11A"/>
    <w:lvl w:ilvl="0" w:tplc="7B4210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E2673"/>
    <w:multiLevelType w:val="hybridMultilevel"/>
    <w:tmpl w:val="F790E0D4"/>
    <w:lvl w:ilvl="0" w:tplc="7B4210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D0877"/>
    <w:multiLevelType w:val="multilevel"/>
    <w:tmpl w:val="5F5A7B5A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62575EDB"/>
    <w:multiLevelType w:val="hybridMultilevel"/>
    <w:tmpl w:val="89761A78"/>
    <w:lvl w:ilvl="0" w:tplc="7B4210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AB1829"/>
    <w:multiLevelType w:val="hybridMultilevel"/>
    <w:tmpl w:val="18E67960"/>
    <w:lvl w:ilvl="0" w:tplc="7B4210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DB7ED5"/>
    <w:multiLevelType w:val="hybridMultilevel"/>
    <w:tmpl w:val="13B0C246"/>
    <w:lvl w:ilvl="0" w:tplc="7B4210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97E64"/>
    <w:multiLevelType w:val="hybridMultilevel"/>
    <w:tmpl w:val="37A06E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57D73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20"/>
  </w:num>
  <w:num w:numId="16">
    <w:abstractNumId w:val="9"/>
  </w:num>
  <w:num w:numId="17">
    <w:abstractNumId w:val="30"/>
  </w:num>
  <w:num w:numId="18">
    <w:abstractNumId w:val="10"/>
  </w:num>
  <w:num w:numId="19">
    <w:abstractNumId w:val="18"/>
  </w:num>
  <w:num w:numId="20">
    <w:abstractNumId w:val="21"/>
  </w:num>
  <w:num w:numId="21">
    <w:abstractNumId w:val="13"/>
  </w:num>
  <w:num w:numId="22">
    <w:abstractNumId w:val="29"/>
  </w:num>
  <w:num w:numId="23">
    <w:abstractNumId w:val="17"/>
  </w:num>
  <w:num w:numId="24">
    <w:abstractNumId w:val="26"/>
  </w:num>
  <w:num w:numId="25">
    <w:abstractNumId w:val="24"/>
  </w:num>
  <w:num w:numId="26">
    <w:abstractNumId w:val="28"/>
  </w:num>
  <w:num w:numId="27">
    <w:abstractNumId w:val="23"/>
  </w:num>
  <w:num w:numId="28">
    <w:abstractNumId w:val="11"/>
  </w:num>
  <w:num w:numId="29">
    <w:abstractNumId w:val="27"/>
  </w:num>
  <w:num w:numId="30">
    <w:abstractNumId w:val="1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56"/>
    <w:rsid w:val="000020D1"/>
    <w:rsid w:val="00021754"/>
    <w:rsid w:val="00024FAB"/>
    <w:rsid w:val="0002627A"/>
    <w:rsid w:val="00030096"/>
    <w:rsid w:val="00042107"/>
    <w:rsid w:val="00047B39"/>
    <w:rsid w:val="0005423E"/>
    <w:rsid w:val="00067F3E"/>
    <w:rsid w:val="00082576"/>
    <w:rsid w:val="000A51BC"/>
    <w:rsid w:val="000C68B3"/>
    <w:rsid w:val="000E1CC0"/>
    <w:rsid w:val="000F22A6"/>
    <w:rsid w:val="0012445E"/>
    <w:rsid w:val="0013186C"/>
    <w:rsid w:val="0014265A"/>
    <w:rsid w:val="00157D66"/>
    <w:rsid w:val="00167CC5"/>
    <w:rsid w:val="0018394B"/>
    <w:rsid w:val="00187B06"/>
    <w:rsid w:val="001A1A24"/>
    <w:rsid w:val="001A25F8"/>
    <w:rsid w:val="001A3898"/>
    <w:rsid w:val="001B5120"/>
    <w:rsid w:val="001B60BE"/>
    <w:rsid w:val="001D5139"/>
    <w:rsid w:val="001D64FD"/>
    <w:rsid w:val="001D7344"/>
    <w:rsid w:val="001E3C94"/>
    <w:rsid w:val="001F30EB"/>
    <w:rsid w:val="002106ED"/>
    <w:rsid w:val="00216230"/>
    <w:rsid w:val="00227556"/>
    <w:rsid w:val="00231376"/>
    <w:rsid w:val="00241B51"/>
    <w:rsid w:val="00242A7C"/>
    <w:rsid w:val="00245F80"/>
    <w:rsid w:val="00250BC0"/>
    <w:rsid w:val="00264602"/>
    <w:rsid w:val="00275411"/>
    <w:rsid w:val="00290AE0"/>
    <w:rsid w:val="00292D0E"/>
    <w:rsid w:val="0029364C"/>
    <w:rsid w:val="002A1AEB"/>
    <w:rsid w:val="002A63DD"/>
    <w:rsid w:val="002B6F44"/>
    <w:rsid w:val="002D2C56"/>
    <w:rsid w:val="002D54F3"/>
    <w:rsid w:val="002E0F9D"/>
    <w:rsid w:val="002E6527"/>
    <w:rsid w:val="00301062"/>
    <w:rsid w:val="00311E2A"/>
    <w:rsid w:val="00323E03"/>
    <w:rsid w:val="00324F76"/>
    <w:rsid w:val="0033076B"/>
    <w:rsid w:val="00344F4B"/>
    <w:rsid w:val="00344FA9"/>
    <w:rsid w:val="0036208E"/>
    <w:rsid w:val="00371A72"/>
    <w:rsid w:val="003727B7"/>
    <w:rsid w:val="00377077"/>
    <w:rsid w:val="00393D7A"/>
    <w:rsid w:val="0039548B"/>
    <w:rsid w:val="003A15CD"/>
    <w:rsid w:val="003A4F33"/>
    <w:rsid w:val="003B084C"/>
    <w:rsid w:val="003B289B"/>
    <w:rsid w:val="003B488A"/>
    <w:rsid w:val="003B69AF"/>
    <w:rsid w:val="003C0178"/>
    <w:rsid w:val="003E5CB5"/>
    <w:rsid w:val="00410A4E"/>
    <w:rsid w:val="004148C3"/>
    <w:rsid w:val="00416B3C"/>
    <w:rsid w:val="0042470A"/>
    <w:rsid w:val="0043223E"/>
    <w:rsid w:val="00433441"/>
    <w:rsid w:val="00442CA1"/>
    <w:rsid w:val="0044504C"/>
    <w:rsid w:val="004538F2"/>
    <w:rsid w:val="00460D82"/>
    <w:rsid w:val="0046550A"/>
    <w:rsid w:val="0047123A"/>
    <w:rsid w:val="0047796F"/>
    <w:rsid w:val="004A478A"/>
    <w:rsid w:val="004B1A6A"/>
    <w:rsid w:val="004C547E"/>
    <w:rsid w:val="004D6CEA"/>
    <w:rsid w:val="004E4684"/>
    <w:rsid w:val="004F34AD"/>
    <w:rsid w:val="005069F0"/>
    <w:rsid w:val="005111AE"/>
    <w:rsid w:val="0052239A"/>
    <w:rsid w:val="0052449B"/>
    <w:rsid w:val="00530659"/>
    <w:rsid w:val="00531506"/>
    <w:rsid w:val="00532421"/>
    <w:rsid w:val="00535B7A"/>
    <w:rsid w:val="00541DEA"/>
    <w:rsid w:val="005561D9"/>
    <w:rsid w:val="00565BF0"/>
    <w:rsid w:val="00566630"/>
    <w:rsid w:val="005967A1"/>
    <w:rsid w:val="00597E56"/>
    <w:rsid w:val="005A1DBA"/>
    <w:rsid w:val="005A3A9C"/>
    <w:rsid w:val="005A7657"/>
    <w:rsid w:val="005B240B"/>
    <w:rsid w:val="005C4C91"/>
    <w:rsid w:val="005E72FE"/>
    <w:rsid w:val="00620DA5"/>
    <w:rsid w:val="006427B5"/>
    <w:rsid w:val="00643DC0"/>
    <w:rsid w:val="00645FD9"/>
    <w:rsid w:val="00651DF7"/>
    <w:rsid w:val="00654FAE"/>
    <w:rsid w:val="00655C32"/>
    <w:rsid w:val="006A35A5"/>
    <w:rsid w:val="006A4129"/>
    <w:rsid w:val="006A7526"/>
    <w:rsid w:val="006B0361"/>
    <w:rsid w:val="006C1ECC"/>
    <w:rsid w:val="006E2021"/>
    <w:rsid w:val="00723345"/>
    <w:rsid w:val="00724409"/>
    <w:rsid w:val="0074692E"/>
    <w:rsid w:val="00752BEC"/>
    <w:rsid w:val="0076367E"/>
    <w:rsid w:val="00771683"/>
    <w:rsid w:val="00784FDF"/>
    <w:rsid w:val="0078506D"/>
    <w:rsid w:val="0078717A"/>
    <w:rsid w:val="007A0AF3"/>
    <w:rsid w:val="007A5623"/>
    <w:rsid w:val="007A729E"/>
    <w:rsid w:val="007C1165"/>
    <w:rsid w:val="007C7E95"/>
    <w:rsid w:val="007D4AE1"/>
    <w:rsid w:val="007F6E54"/>
    <w:rsid w:val="008053CD"/>
    <w:rsid w:val="00811169"/>
    <w:rsid w:val="0081462D"/>
    <w:rsid w:val="0082067F"/>
    <w:rsid w:val="0082246B"/>
    <w:rsid w:val="0082505D"/>
    <w:rsid w:val="008311FC"/>
    <w:rsid w:val="00841B8C"/>
    <w:rsid w:val="00845497"/>
    <w:rsid w:val="00852724"/>
    <w:rsid w:val="0086330F"/>
    <w:rsid w:val="00863FDD"/>
    <w:rsid w:val="008707C6"/>
    <w:rsid w:val="00876A36"/>
    <w:rsid w:val="00887C94"/>
    <w:rsid w:val="00894D14"/>
    <w:rsid w:val="00897F97"/>
    <w:rsid w:val="008C323B"/>
    <w:rsid w:val="008C48AF"/>
    <w:rsid w:val="008D0806"/>
    <w:rsid w:val="008D427F"/>
    <w:rsid w:val="008D6C9D"/>
    <w:rsid w:val="008F55E1"/>
    <w:rsid w:val="00901A93"/>
    <w:rsid w:val="009074AD"/>
    <w:rsid w:val="00913033"/>
    <w:rsid w:val="00923E91"/>
    <w:rsid w:val="0094302F"/>
    <w:rsid w:val="009778FD"/>
    <w:rsid w:val="0099221A"/>
    <w:rsid w:val="00993B0A"/>
    <w:rsid w:val="009953AC"/>
    <w:rsid w:val="009954C3"/>
    <w:rsid w:val="009A4CE3"/>
    <w:rsid w:val="009C3639"/>
    <w:rsid w:val="009F0C0F"/>
    <w:rsid w:val="009F0DEB"/>
    <w:rsid w:val="009F2586"/>
    <w:rsid w:val="00A642F9"/>
    <w:rsid w:val="00A65482"/>
    <w:rsid w:val="00A8249B"/>
    <w:rsid w:val="00A85F6F"/>
    <w:rsid w:val="00A87F0C"/>
    <w:rsid w:val="00A917CE"/>
    <w:rsid w:val="00A94B1E"/>
    <w:rsid w:val="00AA6132"/>
    <w:rsid w:val="00AA7985"/>
    <w:rsid w:val="00AA7F9F"/>
    <w:rsid w:val="00AC2605"/>
    <w:rsid w:val="00AD749A"/>
    <w:rsid w:val="00AE232A"/>
    <w:rsid w:val="00AE2520"/>
    <w:rsid w:val="00AE6D88"/>
    <w:rsid w:val="00AF6B4B"/>
    <w:rsid w:val="00B0465C"/>
    <w:rsid w:val="00B22031"/>
    <w:rsid w:val="00B35924"/>
    <w:rsid w:val="00B37C6F"/>
    <w:rsid w:val="00B620B2"/>
    <w:rsid w:val="00B77DBC"/>
    <w:rsid w:val="00B77FEA"/>
    <w:rsid w:val="00B82A16"/>
    <w:rsid w:val="00B92C46"/>
    <w:rsid w:val="00B9492D"/>
    <w:rsid w:val="00B96A38"/>
    <w:rsid w:val="00BB56FC"/>
    <w:rsid w:val="00BB7DB2"/>
    <w:rsid w:val="00BC04C5"/>
    <w:rsid w:val="00BC32A2"/>
    <w:rsid w:val="00BD7042"/>
    <w:rsid w:val="00BE36CC"/>
    <w:rsid w:val="00C002F5"/>
    <w:rsid w:val="00C07690"/>
    <w:rsid w:val="00C12FBF"/>
    <w:rsid w:val="00C158F1"/>
    <w:rsid w:val="00C37ED6"/>
    <w:rsid w:val="00C4583D"/>
    <w:rsid w:val="00C7054E"/>
    <w:rsid w:val="00C801A9"/>
    <w:rsid w:val="00C81A9A"/>
    <w:rsid w:val="00C90261"/>
    <w:rsid w:val="00C976DD"/>
    <w:rsid w:val="00CB0699"/>
    <w:rsid w:val="00CC119A"/>
    <w:rsid w:val="00CE034F"/>
    <w:rsid w:val="00CE389D"/>
    <w:rsid w:val="00CE4425"/>
    <w:rsid w:val="00CE6F39"/>
    <w:rsid w:val="00CF4F9B"/>
    <w:rsid w:val="00D11E3A"/>
    <w:rsid w:val="00D41F9B"/>
    <w:rsid w:val="00D45641"/>
    <w:rsid w:val="00D51D9A"/>
    <w:rsid w:val="00D74970"/>
    <w:rsid w:val="00D7511B"/>
    <w:rsid w:val="00D76379"/>
    <w:rsid w:val="00D76D7A"/>
    <w:rsid w:val="00D964E9"/>
    <w:rsid w:val="00DA060F"/>
    <w:rsid w:val="00DA39E4"/>
    <w:rsid w:val="00DB3A02"/>
    <w:rsid w:val="00DD012E"/>
    <w:rsid w:val="00DD4FA8"/>
    <w:rsid w:val="00DD71D0"/>
    <w:rsid w:val="00DE2E67"/>
    <w:rsid w:val="00E37CAD"/>
    <w:rsid w:val="00E449BC"/>
    <w:rsid w:val="00E47307"/>
    <w:rsid w:val="00E54182"/>
    <w:rsid w:val="00E55865"/>
    <w:rsid w:val="00E6160C"/>
    <w:rsid w:val="00E64130"/>
    <w:rsid w:val="00E80840"/>
    <w:rsid w:val="00E919E8"/>
    <w:rsid w:val="00EA05F2"/>
    <w:rsid w:val="00EB265D"/>
    <w:rsid w:val="00EB2C33"/>
    <w:rsid w:val="00EE7E1C"/>
    <w:rsid w:val="00F025B3"/>
    <w:rsid w:val="00F12DB2"/>
    <w:rsid w:val="00F234D6"/>
    <w:rsid w:val="00F371C9"/>
    <w:rsid w:val="00F4383E"/>
    <w:rsid w:val="00F803F8"/>
    <w:rsid w:val="00F8735D"/>
    <w:rsid w:val="00F91E37"/>
    <w:rsid w:val="00F962C9"/>
    <w:rsid w:val="00FA238B"/>
    <w:rsid w:val="00FA4A03"/>
    <w:rsid w:val="00FA4D59"/>
    <w:rsid w:val="00FB67BF"/>
    <w:rsid w:val="00FB6A55"/>
    <w:rsid w:val="00FD03F1"/>
    <w:rsid w:val="00FD0E06"/>
    <w:rsid w:val="00FE043C"/>
    <w:rsid w:val="00F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8173805"/>
  <w15:docId w15:val="{088ED136-E0DA-433D-8D28-5C310654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Date" w:locked="1"/>
    <w:lsdException w:name="Body Text First Indent" w:lock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45641"/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17CE"/>
    <w:pPr>
      <w:spacing w:before="60" w:after="160"/>
      <w:outlineLvl w:val="0"/>
    </w:pPr>
    <w:rPr>
      <w:rFonts w:cs="Arial"/>
      <w:b/>
      <w:bCs/>
      <w:spacing w:val="12"/>
      <w:kern w:val="32"/>
      <w:sz w:val="22"/>
      <w:szCs w:val="32"/>
    </w:rPr>
  </w:style>
  <w:style w:type="paragraph" w:styleId="Heading2">
    <w:name w:val="heading 2"/>
    <w:basedOn w:val="Normal"/>
    <w:next w:val="Normal"/>
    <w:link w:val="Heading2Char"/>
    <w:qFormat/>
    <w:rsid w:val="00620DA5"/>
    <w:pPr>
      <w:keepNext/>
      <w:spacing w:before="120" w:after="60"/>
      <w:outlineLvl w:val="1"/>
    </w:pPr>
    <w:rPr>
      <w:rFonts w:cs="Arial"/>
      <w:b/>
      <w:bCs/>
      <w:iCs/>
      <w:spacing w:val="8"/>
      <w:sz w:val="21"/>
      <w:szCs w:val="28"/>
    </w:rPr>
  </w:style>
  <w:style w:type="paragraph" w:styleId="Heading3">
    <w:name w:val="heading 3"/>
    <w:basedOn w:val="Normal"/>
    <w:next w:val="Normal"/>
    <w:qFormat/>
    <w:rsid w:val="00620DA5"/>
    <w:pPr>
      <w:keepNext/>
      <w:spacing w:before="60" w:after="60"/>
      <w:outlineLvl w:val="2"/>
    </w:pPr>
    <w:rPr>
      <w:rFonts w:cs="Arial"/>
      <w:b/>
      <w:bCs/>
      <w:spacing w:val="8"/>
      <w:szCs w:val="26"/>
    </w:rPr>
  </w:style>
  <w:style w:type="paragraph" w:styleId="Heading4">
    <w:name w:val="heading 4"/>
    <w:basedOn w:val="Normal"/>
    <w:next w:val="Normal"/>
    <w:qFormat/>
    <w:rsid w:val="00620DA5"/>
    <w:pPr>
      <w:keepNext/>
      <w:spacing w:before="40" w:after="40"/>
      <w:outlineLvl w:val="3"/>
    </w:pPr>
    <w:rPr>
      <w:b/>
      <w:bCs/>
      <w:spacing w:val="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AA7F9F"/>
    <w:pPr>
      <w:numPr>
        <w:numId w:val="4"/>
      </w:numPr>
      <w:spacing w:after="40"/>
    </w:pPr>
  </w:style>
  <w:style w:type="paragraph" w:styleId="ListBullet2">
    <w:name w:val="List Bullet 2"/>
    <w:basedOn w:val="Normal"/>
    <w:rsid w:val="00AE2520"/>
    <w:pPr>
      <w:numPr>
        <w:numId w:val="5"/>
      </w:numPr>
    </w:pPr>
  </w:style>
  <w:style w:type="paragraph" w:styleId="BodyText">
    <w:name w:val="Body Text"/>
    <w:basedOn w:val="Normal"/>
    <w:locked/>
    <w:rsid w:val="00D45641"/>
    <w:rPr>
      <w:rFonts w:cs="Arial"/>
      <w:b/>
      <w:bCs/>
      <w:sz w:val="20"/>
    </w:rPr>
  </w:style>
  <w:style w:type="character" w:styleId="Hyperlink">
    <w:name w:val="Hyperlink"/>
    <w:uiPriority w:val="99"/>
    <w:rsid w:val="00D45641"/>
    <w:rPr>
      <w:color w:val="0000FF"/>
      <w:u w:val="single"/>
    </w:rPr>
  </w:style>
  <w:style w:type="paragraph" w:styleId="Header">
    <w:name w:val="header"/>
    <w:basedOn w:val="Normal"/>
    <w:rsid w:val="002646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D45641"/>
    <w:pPr>
      <w:tabs>
        <w:tab w:val="center" w:pos="4153"/>
        <w:tab w:val="right" w:pos="8306"/>
      </w:tabs>
    </w:pPr>
    <w:rPr>
      <w:rFonts w:ascii="Book Antiqua" w:hAnsi="Book Antiqu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D45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11169"/>
    <w:rPr>
      <w:rFonts w:ascii="Arial" w:hAnsi="Arial" w:cs="Arial"/>
      <w:b/>
      <w:bCs/>
      <w:spacing w:val="12"/>
      <w:kern w:val="32"/>
      <w:sz w:val="22"/>
      <w:szCs w:val="32"/>
      <w:lang w:eastAsia="en-US"/>
    </w:rPr>
  </w:style>
  <w:style w:type="character" w:customStyle="1" w:styleId="Heading2Char">
    <w:name w:val="Heading 2 Char"/>
    <w:link w:val="Heading2"/>
    <w:rsid w:val="00811169"/>
    <w:rPr>
      <w:rFonts w:ascii="Arial" w:hAnsi="Arial" w:cs="Arial"/>
      <w:b/>
      <w:bCs/>
      <w:iCs/>
      <w:spacing w:val="8"/>
      <w:sz w:val="21"/>
      <w:szCs w:val="28"/>
      <w:lang w:eastAsia="en-US"/>
    </w:rPr>
  </w:style>
  <w:style w:type="paragraph" w:styleId="BalloonText">
    <w:name w:val="Balloon Text"/>
    <w:basedOn w:val="Normal"/>
    <w:link w:val="BalloonTextChar"/>
    <w:locked/>
    <w:rsid w:val="00863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3FD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locked/>
    <w:rsid w:val="00863FDD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63F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3FD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863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3FDD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23E03"/>
    <w:pPr>
      <w:ind w:left="720"/>
      <w:contextualSpacing/>
    </w:pPr>
  </w:style>
  <w:style w:type="paragraph" w:styleId="Revision">
    <w:name w:val="Revision"/>
    <w:hidden/>
    <w:uiPriority w:val="99"/>
    <w:semiHidden/>
    <w:rsid w:val="00442CA1"/>
    <w:rPr>
      <w:rFonts w:ascii="Arial" w:hAnsi="Arial"/>
      <w:sz w:val="18"/>
      <w:szCs w:val="24"/>
      <w:lang w:eastAsia="en-US"/>
    </w:rPr>
  </w:style>
  <w:style w:type="character" w:styleId="Strong">
    <w:name w:val="Strong"/>
    <w:basedOn w:val="DefaultParagraphFont"/>
    <w:uiPriority w:val="22"/>
    <w:qFormat/>
    <w:locked/>
    <w:rsid w:val="00A8249B"/>
    <w:rPr>
      <w:b/>
      <w:bCs/>
    </w:rPr>
  </w:style>
  <w:style w:type="paragraph" w:customStyle="1" w:styleId="removeelement">
    <w:name w:val="removeelement"/>
    <w:basedOn w:val="Normal"/>
    <w:rsid w:val="00B22031"/>
    <w:pPr>
      <w:spacing w:before="100" w:beforeAutospacing="1" w:after="100" w:afterAutospacing="1"/>
    </w:pPr>
    <w:rPr>
      <w:rFonts w:ascii="Times New Roman" w:hAnsi="Times New Roman"/>
      <w:sz w:val="24"/>
      <w:lang w:eastAsia="zh-CN"/>
    </w:rPr>
  </w:style>
  <w:style w:type="paragraph" w:styleId="NormalWeb">
    <w:name w:val="Normal (Web)"/>
    <w:basedOn w:val="Normal"/>
    <w:uiPriority w:val="99"/>
    <w:unhideWhenUsed/>
    <w:rsid w:val="00B22031"/>
    <w:pPr>
      <w:spacing w:before="100" w:beforeAutospacing="1" w:after="100" w:afterAutospacing="1"/>
    </w:pPr>
    <w:rPr>
      <w:rFonts w:ascii="Times New Roman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gldcdp.tg.org.au/etgcomplete%20accessed%205%20May%2020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ormosl\Desktop\formatting%20styles%20template%20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6032228FCAD468D7B8D40B96418D6" ma:contentTypeVersion="1" ma:contentTypeDescription="Create a new document." ma:contentTypeScope="" ma:versionID="a00cc9916a63e92c7678cbc42c7c6e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E167A-B4A6-46FE-9D99-BA710BCD2D8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36ACD8-D11D-459A-B9CC-52F4B886F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DA95D-97D5-4116-B39C-C1909024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formatting styles template b</Template>
  <TotalTime>0</TotalTime>
  <Pages>3</Pages>
  <Words>1002</Words>
  <Characters>5714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Peri-operative Steroid Cover for Adult Patients taking Steroid Therapy</vt:lpstr>
    </vt:vector>
  </TitlesOfParts>
  <Company>SHared Services Group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Peri-operative Steroid Cover for Adult Patients taking Steroid Therapy</dc:title>
  <dc:creator>formosl</dc:creator>
  <cp:lastModifiedBy>Griffith, Andrew</cp:lastModifiedBy>
  <cp:revision>2</cp:revision>
  <cp:lastPrinted>1899-12-31T14:00:00Z</cp:lastPrinted>
  <dcterms:created xsi:type="dcterms:W3CDTF">2022-12-09T21:58:00Z</dcterms:created>
  <dcterms:modified xsi:type="dcterms:W3CDTF">2022-12-09T21:58:00Z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0x010100CA66032228FCAD468D7B8D40B96418D6</vt:lpwstr>
  </property>
</Properties>
</file>